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764" w:rsidRDefault="007E2764" w:rsidP="007E2764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Стартовала отчетная кампания</w:t>
      </w:r>
    </w:p>
    <w:p w:rsidR="007E2764" w:rsidRDefault="007E2764" w:rsidP="007E2764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для плательщиков страховых взносов </w:t>
      </w:r>
    </w:p>
    <w:p w:rsidR="007E2764" w:rsidRDefault="007E2764" w:rsidP="007E2764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7E2764" w:rsidRPr="00C70926" w:rsidRDefault="007E2764" w:rsidP="007E2764">
      <w:pPr>
        <w:keepNext/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Пенсионный фонд напоминает, что 1 апреля Управления ПФР начали прием от работодателей Единой формы отчетности в ПФР </w:t>
      </w:r>
      <w:r w:rsidRPr="00C70926">
        <w:rPr>
          <w:bCs/>
          <w:color w:val="000000"/>
        </w:rPr>
        <w:t>за первый квартал 2014 года</w:t>
      </w:r>
      <w:r w:rsidRPr="00C70926">
        <w:rPr>
          <w:color w:val="000000"/>
        </w:rPr>
        <w:t>.</w:t>
      </w:r>
    </w:p>
    <w:p w:rsidR="007E2764" w:rsidRDefault="007E2764" w:rsidP="007E2764">
      <w:pPr>
        <w:keepNext/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Новая форма объединяет в себе отчетность по начисленным и уплаченным страховым взносам на ОПС и на ОМС в целом по организации и сведения индивидуального персонифицированного учета по каждому застрахованному лицу. Последний день отчетной кампании – </w:t>
      </w:r>
      <w:r w:rsidRPr="00C70926">
        <w:rPr>
          <w:bCs/>
          <w:color w:val="000000"/>
        </w:rPr>
        <w:t>15 мая 2014 года</w:t>
      </w:r>
      <w:r w:rsidRPr="00C70926">
        <w:rPr>
          <w:color w:val="000000"/>
        </w:rPr>
        <w:t>.</w:t>
      </w:r>
      <w:r>
        <w:rPr>
          <w:color w:val="000000"/>
        </w:rPr>
        <w:t xml:space="preserve"> В отношении плательщиков страховых взносов, нарушивших сроки представления отчетности, законодательство предусматривает применение штрафных санкций.</w:t>
      </w:r>
    </w:p>
    <w:p w:rsidR="007E2764" w:rsidRDefault="007E2764" w:rsidP="007E2764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Новая форма отчетности и порядок ее заполнения размещены на сайте Пенсионного фонда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в разделе «Работодателям», в специализированных бухгалтерских системах, а также в «Кабинете плательщика страховых взносов».</w:t>
      </w:r>
    </w:p>
    <w:p w:rsidR="007E2764" w:rsidRPr="00891F54" w:rsidRDefault="007E2764" w:rsidP="007E2764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Помимо этого на сайте ПФР в свободном доступе размещены новые </w:t>
      </w:r>
      <w:hyperlink r:id="rId5" w:history="1">
        <w:r w:rsidRPr="00891F54">
          <w:rPr>
            <w:rStyle w:val="a8"/>
          </w:rPr>
          <w:t xml:space="preserve">программы </w:t>
        </w:r>
        <w:r w:rsidRPr="00891F54">
          <w:rPr>
            <w:rStyle w:val="a8"/>
            <w:bCs/>
          </w:rPr>
          <w:t>для подготовки и проверки отчетности</w:t>
        </w:r>
      </w:hyperlink>
      <w:r>
        <w:rPr>
          <w:color w:val="000000"/>
        </w:rPr>
        <w:t>, которые в значительной степени облегчают процесс подготовки и сдачи отчетности для плательщиков страховых взносов.</w:t>
      </w:r>
      <w:r w:rsidRPr="00891F54">
        <w:rPr>
          <w:color w:val="000000"/>
        </w:rPr>
        <w:t xml:space="preserve"> </w:t>
      </w:r>
      <w:r>
        <w:rPr>
          <w:color w:val="000000"/>
        </w:rPr>
        <w:t>Работодателям на выбор предложены разработанные Отделениями ПФР четыре программы для составления отчетности в электронном виде и одна программа для проверки подготовленной отчетности.</w:t>
      </w:r>
    </w:p>
    <w:p w:rsidR="007E2764" w:rsidRDefault="007E2764" w:rsidP="007E2764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Напомним, переход к единой форме отчетности осуществлен для снижения административной нагрузки на плательщиков страховых взносов. Она позволит плательщикам страховых взносов обеспечить представление сведений о начисленных и уплаченных страховых взносах в целом по организации и сведений персонифицированного учета по застрахованным лицам, исключая их несоответствие.</w:t>
      </w:r>
    </w:p>
    <w:p w:rsidR="007E2764" w:rsidRDefault="007E2764" w:rsidP="007E2764">
      <w:pPr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</w:rPr>
      </w:pPr>
      <w:r>
        <w:rPr>
          <w:color w:val="000000"/>
        </w:rPr>
        <w:t>Основные изменения в новой отчетности следующие:</w:t>
      </w:r>
    </w:p>
    <w:p w:rsidR="007E2764" w:rsidRDefault="007E2764" w:rsidP="007E276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в индивидуальных сведениях, представляемых страхователем, не указывается сумма уплаченных страховых взносов;</w:t>
      </w:r>
    </w:p>
    <w:p w:rsidR="007E2764" w:rsidRDefault="007E2764" w:rsidP="007E276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отражается уплата страховых взносов за периоды с 2014 года единым расчетным документом без выделения страховой и накопительной части (уплата на КБК страховой части);</w:t>
      </w:r>
    </w:p>
    <w:p w:rsidR="007E2764" w:rsidRDefault="007E2764" w:rsidP="007E276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выделение страховой и накопительной части с учетом возрастной категории застрахованного лица, принадлежности к гражданству и выбора варианта пенсионного обеспечения будет производиться Пенсионным фондом России по сведениям данных персонифицированного учета;</w:t>
      </w:r>
    </w:p>
    <w:p w:rsidR="007E2764" w:rsidRDefault="007E2764" w:rsidP="007E276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отражение задолженности по страховым взносам, доначисление и уплата страховых взносов за периоды 2010-2013 годов;</w:t>
      </w:r>
    </w:p>
    <w:p w:rsidR="007E2764" w:rsidRDefault="007E2764" w:rsidP="007E276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 xml:space="preserve">новый подраздел 2.4 формы отражает особенности уплаты страховых взносов по дополнительным тарифам по результатам проведения специальной оценки условий труда. </w:t>
      </w:r>
    </w:p>
    <w:p w:rsidR="007E2764" w:rsidRPr="00891F54" w:rsidRDefault="007E2764" w:rsidP="007E276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Сроки сдачи отчетности не изменились. Плательщикам страховых взносов по-прежнему необходимо представлять отчетность не позднее 15-го числа второго календарного месяца, следующего за отчетным периодом (кварталом, полугодием, девятью месяцами и календарным годом).</w:t>
      </w:r>
    </w:p>
    <w:p w:rsidR="00146F77" w:rsidRDefault="00146F77"/>
    <w:sectPr w:rsidR="00146F77" w:rsidSect="009F79B0">
      <w:headerReference w:type="default" r:id="rId6"/>
      <w:footerReference w:type="even" r:id="rId7"/>
      <w:footerReference w:type="default" r:id="rId8"/>
      <w:pgSz w:w="11906" w:h="16838" w:code="9"/>
      <w:pgMar w:top="2516" w:right="128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66388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663880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663880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663880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663880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664D2"/>
    <w:multiLevelType w:val="hybridMultilevel"/>
    <w:tmpl w:val="21922E5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7E2764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3880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E2764"/>
    <w:rsid w:val="007F5778"/>
    <w:rsid w:val="00831166"/>
    <w:rsid w:val="0086255B"/>
    <w:rsid w:val="00884D80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D7A07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7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2764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2764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7E276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7E27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7E276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7E27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7E2764"/>
  </w:style>
  <w:style w:type="character" w:styleId="a8">
    <w:name w:val="Hyperlink"/>
    <w:basedOn w:val="a0"/>
    <w:rsid w:val="007E27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pfrf.ru/free_program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2014-04-09T11:36:00Z</dcterms:created>
  <dcterms:modified xsi:type="dcterms:W3CDTF">2014-04-09T12:53:00Z</dcterms:modified>
</cp:coreProperties>
</file>