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_1566901924"/>
      <w:r>
        <w:rPr/>
        <w:t>Как направить средства материнского капитала на улучшение жилищных условий</w:t>
      </w:r>
      <w:bookmarkEnd w:id="0"/>
      <w:r>
        <w:rPr/>
        <w:t xml:space="preserve">, читайте на сайте ПФР: </w:t>
      </w:r>
      <w:hyperlink r:id="rId2" w:tgtFrame="_blank">
        <w:r>
          <w:rPr>
            <w:rStyle w:val="Style11"/>
          </w:rPr>
          <w:t>https://pfr.gov.ru/grazhdanam/msk/msk_housing/</w:t>
        </w:r>
      </w:hyperlink>
      <w:r>
        <w:rPr/>
        <w:t xml:space="preserve">. </w:t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5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6">
        <w:r>
          <w:rPr>
            <w:rStyle w:val="Style11"/>
          </w:rPr>
          <w:t>#семья</w:t>
        </w:r>
      </w:hyperlink>
      <w:r>
        <w:rPr/>
        <w:t xml:space="preserve"> </w:t>
      </w:r>
      <w:hyperlink r:id="rId7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-71120</wp:posOffset>
            </wp:positionH>
            <wp:positionV relativeFrom="paragraph">
              <wp:posOffset>47625</wp:posOffset>
            </wp:positionV>
            <wp:extent cx="3758565" cy="37585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565" cy="3758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2410460</wp:posOffset>
            </wp:positionH>
            <wp:positionV relativeFrom="paragraph">
              <wp:posOffset>3966210</wp:posOffset>
            </wp:positionV>
            <wp:extent cx="4047490" cy="404749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7490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msk%2Fmsk_housing%2F&amp;post=-37475973_4762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6" Type="http://schemas.openxmlformats.org/officeDocument/2006/relationships/hyperlink" Target="https://vk.com/feed?section=search&amp;q=%23&#1089;&#1077;&#1084;&#1100;&#1103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2021-10-25T09:52:49Z</dcterms:created>
  <dc:language>ru-RU</dc:language>
  <dcterms:modified xsi:type="dcterms:W3CDTF">2021-10-25T09:54:38Z</dcterms:modified>
  <cp:revision>1</cp:revision>
</cp:coreProperties>
</file>