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i/>
          <w:i/>
          <w:iCs/>
        </w:rPr>
      </w:pPr>
      <w:bookmarkStart w:id="0" w:name="__DdeLink__558_216995939"/>
      <w:bookmarkEnd w:id="0"/>
      <w:r>
        <w:rPr>
          <w:b/>
          <w:bCs/>
          <w:i/>
          <w:iCs/>
        </w:rPr>
        <w:t>Как оплатить материнским капиталом проживание студента в общежитии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Клиентская служба Пенсионного фонда в Краснослободском муниципальном районе</w:t>
      </w:r>
      <w:r>
        <w:rPr/>
        <w:t xml:space="preserve"> напоминает, что с помощью материнского (семейного) капитала можно оплатить не только образовательные услуги ребенка, но и проживание обучающегося в общежитии, в том числе, коммунальные услуги.</w:t>
        <w:br/>
        <w:t>Для этого родителям студента необходимо заключить с образовательным учреждением договор найма жилого помещения и получить справку, подтверждающую факт проживания в общежитии. Договор найма должен содержать сумму и сроки внесения платы. Существуют также требования к образовательному учреждению: оно может быть как государственным, так и негосударственным, но обязательно должен иметь лицензию на осуществление образовательной деятельности.</w:t>
      </w:r>
    </w:p>
    <w:p>
      <w:pPr>
        <w:pStyle w:val="Normal"/>
        <w:jc w:val="both"/>
        <w:rPr/>
      </w:pPr>
      <w:r>
        <w:rPr/>
        <w:t>Направить средства маткапитала на обучение в образовательной организации и оплату проживания в общежитии может семья, в которой ребенку, давшему право на материнский капитал, исполнилось 3 года. Средства можно направить на обучение любого ребенка в семье, при этом возраст детей на дату начала обучения не должен превышать 25 лет.</w:t>
      </w:r>
    </w:p>
    <w:p>
      <w:pPr>
        <w:pStyle w:val="Normal"/>
        <w:jc w:val="both"/>
        <w:rPr/>
      </w:pPr>
      <w:r>
        <w:rPr/>
        <w:t xml:space="preserve">Заявление о направление средств на образование и оплату проживания в общежитии можно подать через кабинет гражданина на сайте ПФР или портал госуслуг, а также лично, в клиентской службе ПФР и МФЦ. 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2021-09-23T11:31:28Z</dcterms:created>
  <dc:language>ru-RU</dc:language>
  <dcterms:modified xsi:type="dcterms:W3CDTF">2021-10-06T12:33:39Z</dcterms:modified>
  <cp:revision>2</cp:revision>
</cp:coreProperties>
</file>