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sz w:val="26"/>
          <w:szCs w:val="26"/>
        </w:rPr>
      </w:pPr>
      <w:r>
        <w:rPr>
          <w:sz w:val="26"/>
          <w:szCs w:val="26"/>
          <w:lang w:val="ru-RU"/>
        </w:rPr>
        <w:t>Справка об отнесении к категории</w:t>
      </w:r>
      <w:r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>«предпенсионер».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С 1 января 2019 года федеральным и региональным законодательствами установлен ряд льгот и мер социальной поддержки для такой категории граждан как предпенсионеры.</w:t>
      </w:r>
    </w:p>
    <w:p>
      <w:pPr>
        <w:pStyle w:val="Normal"/>
        <w:spacing w:lineRule="auto" w:line="240"/>
        <w:jc w:val="both"/>
        <w:rPr>
          <w:rFonts w:ascii="Times New Roman" w:hAnsi="Times New Roman"/>
          <w:color w:val="000000"/>
          <w:sz w:val="26"/>
          <w:szCs w:val="26"/>
          <w:highlight w:val="white"/>
        </w:rPr>
      </w:pPr>
      <w:r>
        <w:rPr>
          <w:color w:val="000000"/>
          <w:sz w:val="26"/>
          <w:szCs w:val="26"/>
          <w:highlight w:val="white"/>
        </w:rPr>
        <w:t>Право на большинство предпенсионных льгот возникает за 5 лет до нового пенсионного возраста с учетом переходного периода.</w:t>
      </w:r>
    </w:p>
    <w:p>
      <w:pPr>
        <w:pStyle w:val="Style12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За получением справки об отнесении к категории предпенсионера гражданин может обратиться не только лично в клиентскую службу ПФР или в МФЦ, но и удаленно — через сервис в личном кабинете гражданина на сайте ПФР. Для этого необходимо войти в личный кабинет при помощи пароля и логина учетной записи после регистрации на Едином портале госуслуг, выбрать в разделе «Пенсии» вкладку «Заказать справку (выписку): об отнесении гражданина к категории граждан предпенсионного возраста», после чего указать орган, куда предоставляются сведения: </w:t>
        <w:br/>
        <w:t>• Федеральная налоговая служба РФ;</w:t>
        <w:br/>
        <w:t>• Орган государственной власти РФ в области содействия занятости населения;</w:t>
        <w:br/>
        <w:t xml:space="preserve">• Работодатель. </w:t>
        <w:br/>
        <w:t>При желании сформированную справку можно получить на электронную почту, сохранить, распечатать, а также посмотреть в разделе «История обращений».</w:t>
        <w:br/>
        <w:t>Обращаем внимание, что для получения льгот, предусмотренных для предпенсионеров, достаточно обратиться с заявлением в ведомство, предоставляющее льготу, которое по каналам межведомственного взаимодействия самостоятельно запросит необходимые сведения.</w:t>
      </w:r>
    </w:p>
    <w:p>
      <w:pPr>
        <w:pStyle w:val="Normal"/>
        <w:spacing w:lineRule="auto" w:line="240"/>
        <w:jc w:val="both"/>
        <w:rPr>
          <w:color w:val="000000"/>
          <w:sz w:val="26"/>
          <w:szCs w:val="26"/>
          <w:highlight w:val="white"/>
        </w:rPr>
      </w:pPr>
      <w:r>
        <w:rPr>
          <w:color w:val="000000"/>
          <w:sz w:val="26"/>
          <w:szCs w:val="26"/>
          <w:highlight w:val="whit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864235</wp:posOffset>
            </wp:positionH>
            <wp:positionV relativeFrom="paragraph">
              <wp:posOffset>681355</wp:posOffset>
            </wp:positionV>
            <wp:extent cx="3842385" cy="384238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85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Горизонтальная линия"/>
    <w:basedOn w:val="Normal"/>
    <w:next w:val="Style12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16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2021-09-14T17:00:35Z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