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Обращаем внимание, что различные льготы по уплате налогов, а также региональные льготы представляются предпенсионерам только при достижении ими 60 и 55 лет (для мужчин и женщин соответственно).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12065</wp:posOffset>
            </wp:positionH>
            <wp:positionV relativeFrom="paragraph">
              <wp:posOffset>214630</wp:posOffset>
            </wp:positionV>
            <wp:extent cx="6120130" cy="588518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8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2021-07-28T16:55:24Z</dcterms:created>
  <dc:language>ru-RU</dc:language>
  <dcterms:modified xsi:type="dcterms:W3CDTF">2021-07-28T16:56:18Z</dcterms:modified>
  <cp:revision>1</cp:revision>
</cp:coreProperties>
</file>