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FF5" w:rsidRDefault="002C2EDE" w:rsidP="00DD1FF5">
      <w:pPr>
        <w:shd w:val="clear" w:color="auto" w:fill="FFFFFF"/>
        <w:spacing w:after="0" w:line="240" w:lineRule="auto"/>
        <w:ind w:firstLine="709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Прокуратура разъясняет 14</w:t>
      </w:r>
      <w:r w:rsidR="00DD1FF5">
        <w:rPr>
          <w:rFonts w:ascii="Times New Roman" w:hAnsi="Times New Roman" w:cs="Times New Roman"/>
          <w:b/>
          <w:sz w:val="24"/>
          <w:szCs w:val="24"/>
        </w:rPr>
        <w:t>.0</w:t>
      </w:r>
      <w:r w:rsidR="00AF3B98">
        <w:rPr>
          <w:rFonts w:ascii="Times New Roman" w:hAnsi="Times New Roman" w:cs="Times New Roman"/>
          <w:b/>
          <w:sz w:val="24"/>
          <w:szCs w:val="24"/>
        </w:rPr>
        <w:t>5</w:t>
      </w:r>
      <w:r w:rsidR="00DD1FF5">
        <w:rPr>
          <w:rFonts w:ascii="Times New Roman" w:hAnsi="Times New Roman" w:cs="Times New Roman"/>
          <w:b/>
          <w:sz w:val="24"/>
          <w:szCs w:val="24"/>
        </w:rPr>
        <w:t>.202</w:t>
      </w:r>
      <w:r w:rsidR="003F6986">
        <w:rPr>
          <w:rFonts w:ascii="Times New Roman" w:hAnsi="Times New Roman" w:cs="Times New Roman"/>
          <w:b/>
          <w:sz w:val="24"/>
          <w:szCs w:val="24"/>
        </w:rPr>
        <w:t>1</w:t>
      </w:r>
    </w:p>
    <w:p w:rsidR="002C2EDE" w:rsidRDefault="002C2EDE" w:rsidP="002C2EDE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</w:t>
      </w:r>
      <w:r>
        <w:rPr>
          <w:rFonts w:ascii="Times New Roman" w:hAnsi="Times New Roman" w:cs="Times New Roman"/>
          <w:b/>
          <w:sz w:val="24"/>
          <w:szCs w:val="24"/>
        </w:rPr>
        <w:t>оеннослужащи</w:t>
      </w:r>
      <w:r>
        <w:rPr>
          <w:rFonts w:ascii="Times New Roman" w:hAnsi="Times New Roman" w:cs="Times New Roman"/>
          <w:b/>
          <w:sz w:val="24"/>
          <w:szCs w:val="24"/>
        </w:rPr>
        <w:t>е</w:t>
      </w:r>
      <w:r>
        <w:rPr>
          <w:rFonts w:ascii="Times New Roman" w:hAnsi="Times New Roman" w:cs="Times New Roman"/>
          <w:b/>
          <w:sz w:val="24"/>
          <w:szCs w:val="24"/>
        </w:rPr>
        <w:t>-призывник</w:t>
      </w:r>
      <w:r>
        <w:rPr>
          <w:rFonts w:ascii="Times New Roman" w:hAnsi="Times New Roman" w:cs="Times New Roman"/>
          <w:b/>
          <w:sz w:val="24"/>
          <w:szCs w:val="24"/>
        </w:rPr>
        <w:t xml:space="preserve">и освобождаются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от уплаты госпошлины за выдачу водительского удостоверения </w:t>
      </w:r>
    </w:p>
    <w:p w:rsidR="002C2EDE" w:rsidRPr="002C2EDE" w:rsidRDefault="002C2EDE" w:rsidP="002C2EDE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2C2EDE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Принят Федеральный  закон от 30.04.2021 № 105-ФЗ «О внесении изменений в статью 333.35 части второй Налогового кодекса Российской Федерации».</w:t>
      </w:r>
    </w:p>
    <w:p w:rsidR="002C2EDE" w:rsidRPr="002C2EDE" w:rsidRDefault="002C2EDE" w:rsidP="002C2EDE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2C2EDE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Согласно поправкам государственная пошлина не уплачивается:</w:t>
      </w:r>
    </w:p>
    <w:p w:rsidR="002C2EDE" w:rsidRPr="002C2EDE" w:rsidRDefault="002C2EDE" w:rsidP="002C2EDE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2C2EDE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- за выдачу национального водительского удостоверения, удостоверения тракториста-машиниста (тракториста) гражданам, подлежащим призыву на военную службу и прошедшим подготовку по военно-учетным специальностям солдат, матросов, сержантов и старшин по направлению военного комиссариата;</w:t>
      </w:r>
    </w:p>
    <w:p w:rsidR="002C2EDE" w:rsidRPr="002C2EDE" w:rsidRDefault="002C2EDE" w:rsidP="002C2EDE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2C2EDE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- за выдачу национального водительского удостоверения, подтверждающего право на управление транспортными средствами категории «D» и подкатегории «D1», гражданам, проходящим военную службу по призыву.</w:t>
      </w:r>
    </w:p>
    <w:p w:rsidR="002C2EDE" w:rsidRPr="002C2EDE" w:rsidRDefault="002C2EDE" w:rsidP="002C2EDE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  <w:r w:rsidRPr="002C2EDE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Изменения вступают в силу с 1 января 202</w:t>
      </w:r>
      <w:r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>2</w:t>
      </w:r>
      <w:r w:rsidRPr="002C2EDE"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  <w:t xml:space="preserve"> года.</w:t>
      </w:r>
    </w:p>
    <w:p w:rsidR="00634F30" w:rsidRPr="00634F30" w:rsidRDefault="00634F30" w:rsidP="00634F3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F0D6D" w:rsidRPr="003F0D6D" w:rsidRDefault="003F0D6D" w:rsidP="003F0D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3D68DB" w:rsidRPr="003D68DB" w:rsidRDefault="003D68DB" w:rsidP="003D68D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71FCB" w:rsidRPr="00571FCB" w:rsidRDefault="00571FCB" w:rsidP="00571FCB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A6443C" w:rsidRPr="00A6443C" w:rsidRDefault="00A6443C" w:rsidP="00A6443C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FD4E5D" w:rsidRPr="00FD4E5D" w:rsidRDefault="00FD4E5D" w:rsidP="00FD4E5D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FA7901" w:rsidRPr="00FA7901" w:rsidRDefault="00FA7901" w:rsidP="00FA7901">
      <w:pPr>
        <w:shd w:val="clear" w:color="auto" w:fill="FFFFFF"/>
        <w:spacing w:after="0" w:line="240" w:lineRule="auto"/>
        <w:ind w:firstLine="709"/>
        <w:jc w:val="both"/>
        <w:rPr>
          <w:rFonts w:ascii="Roboto" w:eastAsia="Times New Roman" w:hAnsi="Roboto" w:cs="Times New Roman"/>
          <w:color w:val="333333"/>
          <w:sz w:val="24"/>
          <w:szCs w:val="24"/>
          <w:lang w:eastAsia="ru-RU"/>
        </w:rPr>
      </w:pPr>
    </w:p>
    <w:p w:rsidR="00A4003F" w:rsidRPr="00A4003F" w:rsidRDefault="00A4003F" w:rsidP="004C615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Ind w:w="180" w:type="dxa"/>
        <w:tblLayout w:type="fixed"/>
        <w:tblCellMar>
          <w:top w:w="180" w:type="dxa"/>
          <w:left w:w="180" w:type="dxa"/>
          <w:bottom w:w="180" w:type="dxa"/>
          <w:right w:w="180" w:type="dxa"/>
        </w:tblCellMar>
        <w:tblLook w:val="0000" w:firstRow="0" w:lastRow="0" w:firstColumn="0" w:lastColumn="0" w:noHBand="0" w:noVBand="0"/>
      </w:tblPr>
      <w:tblGrid>
        <w:gridCol w:w="532"/>
        <w:gridCol w:w="9183"/>
      </w:tblGrid>
      <w:tr w:rsidR="00A4003F" w:rsidRPr="00A4003F">
        <w:tc>
          <w:tcPr>
            <w:tcW w:w="540" w:type="dxa"/>
            <w:vAlign w:val="center"/>
          </w:tcPr>
          <w:p w:rsidR="00A4003F" w:rsidRPr="00A4003F" w:rsidRDefault="00A4003F" w:rsidP="004C615F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color w:val="FFFCE1"/>
                <w:sz w:val="24"/>
                <w:szCs w:val="24"/>
              </w:rPr>
            </w:pPr>
            <w:r w:rsidRPr="00A4003F">
              <w:rPr>
                <w:rFonts w:ascii="Times New Roman" w:hAnsi="Times New Roman" w:cs="Times New Roman"/>
                <w:noProof/>
                <w:color w:val="FFFCE1"/>
                <w:position w:val="-1"/>
                <w:sz w:val="24"/>
                <w:szCs w:val="24"/>
                <w:lang w:eastAsia="ru-RU"/>
              </w:rPr>
              <w:drawing>
                <wp:inline distT="0" distB="0" distL="0" distR="0" wp14:anchorId="34DF8B2F" wp14:editId="7EEB4B8F">
                  <wp:extent cx="114300" cy="14287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" cy="142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67" w:type="dxa"/>
          </w:tcPr>
          <w:p w:rsidR="00A4003F" w:rsidRPr="00A4003F" w:rsidRDefault="00A4003F" w:rsidP="004C615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D1FF5" w:rsidRPr="00244EF7" w:rsidRDefault="00DD1FF5" w:rsidP="003F6986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7F690A" w:rsidRPr="003F6986" w:rsidRDefault="007F690A" w:rsidP="003F6986">
      <w:pPr>
        <w:spacing w:after="0" w:line="360" w:lineRule="auto"/>
        <w:jc w:val="both"/>
        <w:rPr>
          <w:sz w:val="24"/>
          <w:szCs w:val="24"/>
        </w:rPr>
      </w:pPr>
    </w:p>
    <w:sectPr w:rsidR="007F690A" w:rsidRPr="003F69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B27"/>
    <w:rsid w:val="00166B27"/>
    <w:rsid w:val="00244EF7"/>
    <w:rsid w:val="002C2EDE"/>
    <w:rsid w:val="003D68DB"/>
    <w:rsid w:val="003F0D6D"/>
    <w:rsid w:val="003F6986"/>
    <w:rsid w:val="004C615F"/>
    <w:rsid w:val="00571FCB"/>
    <w:rsid w:val="005C3C29"/>
    <w:rsid w:val="00634F30"/>
    <w:rsid w:val="007F690A"/>
    <w:rsid w:val="008C5E46"/>
    <w:rsid w:val="009051B2"/>
    <w:rsid w:val="00A4003F"/>
    <w:rsid w:val="00A6443C"/>
    <w:rsid w:val="00A80530"/>
    <w:rsid w:val="00AF3B98"/>
    <w:rsid w:val="00DD1FF5"/>
    <w:rsid w:val="00FA7901"/>
    <w:rsid w:val="00FD4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F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1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4E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4E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F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D1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4E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4E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28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4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4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2021-06-23T03:57:00Z</dcterms:created>
  <dcterms:modified xsi:type="dcterms:W3CDTF">2021-06-23T03:57:00Z</dcterms:modified>
</cp:coreProperties>
</file>