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200" w:after="120"/>
        <w:jc w:val="center"/>
        <w:rPr/>
      </w:pPr>
      <w:r>
        <w:rPr/>
        <w:t>Перечень сведений электронной трудовой книжки</w:t>
      </w:r>
    </w:p>
    <w:p>
      <w:pPr>
        <w:pStyle w:val="Style13"/>
        <w:jc w:val="both"/>
        <w:rPr/>
      </w:pPr>
      <w:r>
        <w:rPr/>
        <w:t>Электронная трудовая книжка сохраняет практически весь перечень сведений, которые учитываются в бумажной трудовой книжке: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Информация о работнике;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Даты приема, увольнения, перевода на другую работу;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Место работы;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Вид мероприятия (прием, перевод, увольнение);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Должность, профессия, специальность, квалификация, структурное подразделение;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Вид поручаемой работы;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Основание кадрового мероприятия (дата, номер и вид документа);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Причины прекращения трудового договора. </w:t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323205" cy="3446145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205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2021-05-21T12:16:20Z</dcterms:created>
  <dc:language>ru-RU</dc:language>
  <dcterms:modified xsi:type="dcterms:W3CDTF">2021-05-21T12:17:28Z</dcterms:modified>
  <cp:revision>1</cp:revision>
</cp:coreProperties>
</file>