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для страхователей: административный штраф выплачивает должностное лицо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sz w:val="24"/>
          <w:szCs w:val="24"/>
        </w:rPr>
      </w:r>
    </w:p>
    <w:p>
      <w:pPr>
        <w:pStyle w:val="NormalWeb"/>
        <w:spacing w:lineRule="auto" w:line="48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силу положения ч.1 ст.32.2 КоАП административный штраф должен быть уплачен в полном размере лицом, привлеченным к административной ответственности, в сроки, установленные вышеуказанной статьей.</w:t>
      </w:r>
    </w:p>
    <w:p>
      <w:pPr>
        <w:pStyle w:val="NormalWeb"/>
        <w:spacing w:lineRule="auto" w:line="48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Это означает, что платеж должен поступить от физического лица – должностного лица страхователя, в отношении которого вынесено Постановление о назначении административного наказания с назначением административного штрафа. Платеж, поступивший от организации, не может быть учтен в счет погашения штрафа, предъявленного должностному лицу. В случае перечисления организацией денежных средств в счет погашения административного штрафа, задолженность у должностного лица сохраняется. При этом у страхователя появляется излишне уплаченная сумма (переплата). </w:t>
      </w:r>
    </w:p>
    <w:p>
      <w:pPr>
        <w:pStyle w:val="NormalWeb"/>
        <w:spacing w:lineRule="auto" w:line="48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УПФР в Краснослободском муниципальном районе РМ (межрайонное) просит принять во внимание данную информацию при перечислении денежных средств в счет уплаты административных штрафов, установленных  ст.15.33.2 КоАП.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2021-05-20T10:34:25Z</dcterms:created>
  <dc:language>ru-RU</dc:language>
  <dcterms:modified xsi:type="dcterms:W3CDTF">2021-05-20T10:37:15Z</dcterms:modified>
  <cp:revision>1</cp:revision>
</cp:coreProperties>
</file>