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1"/>
        <w:spacing w:before="240" w:after="12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ЕДВ, ДЕМО, ДМО</w:t>
      </w:r>
    </w:p>
    <w:p>
      <w:pPr>
        <w:pStyle w:val="Style15"/>
        <w:spacing w:lineRule="auto" w:line="288" w:before="0" w:after="0"/>
        <w:ind w:left="0" w:right="0" w:hanging="0"/>
        <w:jc w:val="both"/>
        <w:rPr/>
      </w:pPr>
      <w:r>
        <w:rPr>
          <w:rFonts w:ascii="Times New Roman" w:hAnsi="Times New Roman"/>
        </w:rPr>
        <w:t>Пенсионный фонд России и его территориальные органы в соответствии с действующим законодательством осуществляют социальные выплаты, к которым, в частности, относятся ежемесячная денежная выплата (ЕДВ) и входящий в ее состав набор социальных услуг (НСУ), дополнительное ежемесячное материальное обеспечение (ДЕМО), дополнительное материальное обеспечение (ДМО).</w:t>
      </w:r>
      <w:r>
        <w:rPr>
          <w:rStyle w:val="Style11"/>
          <w:rFonts w:ascii="Times New Roman" w:hAnsi="Times New Roman"/>
        </w:rPr>
        <w:t> </w:t>
      </w:r>
    </w:p>
    <w:p>
      <w:pPr>
        <w:pStyle w:val="Style15"/>
        <w:spacing w:lineRule="auto" w:line="288" w:before="0" w:after="0"/>
        <w:ind w:left="0" w:right="0" w:hanging="0"/>
        <w:jc w:val="both"/>
        <w:rPr/>
      </w:pPr>
      <w:r>
        <w:rPr>
          <w:rStyle w:val="Style11"/>
          <w:rFonts w:ascii="Times New Roman" w:hAnsi="Times New Roman"/>
        </w:rPr>
        <w:t>Ежемесячная денежная выплата – </w:t>
      </w:r>
      <w:r>
        <w:rPr>
          <w:rFonts w:ascii="Times New Roman" w:hAnsi="Times New Roman"/>
        </w:rPr>
        <w:t>социальная выплата, устанавливаемая территориальными органами ПФР отдельным категориям граждан. Среди них:</w:t>
      </w:r>
    </w:p>
    <w:p>
      <w:pPr>
        <w:pStyle w:val="Style15"/>
        <w:numPr>
          <w:ilvl w:val="0"/>
          <w:numId w:val="1"/>
        </w:numPr>
        <w:tabs>
          <w:tab w:val="left" w:pos="0" w:leader="none"/>
        </w:tabs>
        <w:spacing w:lineRule="auto" w:line="288" w:before="0" w:after="0"/>
        <w:ind w:left="0" w:right="0" w:hanging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ветераны Великой Отечественной войны, боевых действий и т.д.; </w:t>
      </w:r>
    </w:p>
    <w:p>
      <w:pPr>
        <w:pStyle w:val="Style15"/>
        <w:numPr>
          <w:ilvl w:val="0"/>
          <w:numId w:val="1"/>
        </w:numPr>
        <w:tabs>
          <w:tab w:val="left" w:pos="0" w:leader="none"/>
        </w:tabs>
        <w:spacing w:lineRule="auto" w:line="288" w:before="0" w:after="0"/>
        <w:ind w:left="0" w:right="0" w:hanging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инвалиды, включая детей-инвалидов; </w:t>
      </w:r>
    </w:p>
    <w:p>
      <w:pPr>
        <w:pStyle w:val="Style15"/>
        <w:numPr>
          <w:ilvl w:val="0"/>
          <w:numId w:val="1"/>
        </w:numPr>
        <w:tabs>
          <w:tab w:val="left" w:pos="0" w:leader="none"/>
        </w:tabs>
        <w:spacing w:lineRule="auto" w:line="288" w:before="0" w:after="0"/>
        <w:ind w:left="0" w:right="0" w:hanging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бывшие несовершеннолетние узники фашизма; </w:t>
      </w:r>
    </w:p>
    <w:p>
      <w:pPr>
        <w:pStyle w:val="Style15"/>
        <w:numPr>
          <w:ilvl w:val="0"/>
          <w:numId w:val="1"/>
        </w:numPr>
        <w:tabs>
          <w:tab w:val="left" w:pos="0" w:leader="none"/>
        </w:tabs>
        <w:spacing w:lineRule="auto" w:line="288" w:before="0" w:after="0"/>
        <w:ind w:left="0" w:right="0" w:hanging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лица, пострадавшие в результате воздействия радиации. </w:t>
      </w:r>
    </w:p>
    <w:p>
      <w:pPr>
        <w:pStyle w:val="Style15"/>
        <w:spacing w:lineRule="auto" w:line="288" w:before="0" w:after="0"/>
        <w:ind w:left="0" w:right="0" w:hanging="0"/>
        <w:jc w:val="both"/>
        <w:rPr/>
      </w:pPr>
      <w:r>
        <w:rPr>
          <w:rFonts w:ascii="Times New Roman" w:hAnsi="Times New Roman"/>
        </w:rPr>
        <w:t>Ознакомиться с полным перечнем граждан, имеющих право на получение ЕДВ, можно на сайте ПФР в разделе «</w:t>
      </w:r>
      <w:r>
        <w:rPr>
          <w:rStyle w:val="Style12"/>
          <w:rFonts w:ascii="Times New Roman" w:hAnsi="Times New Roman"/>
        </w:rPr>
        <w:t>Социальные выплаты</w:t>
      </w:r>
      <w:r>
        <w:rPr>
          <w:rFonts w:ascii="Times New Roman" w:hAnsi="Times New Roman"/>
        </w:rPr>
        <w:t>».</w:t>
      </w:r>
    </w:p>
    <w:p>
      <w:pPr>
        <w:pStyle w:val="Style15"/>
        <w:spacing w:lineRule="auto" w:line="288" w:before="0" w:after="0"/>
        <w:ind w:left="0" w:right="0" w:hanging="0"/>
        <w:jc w:val="both"/>
        <w:rPr/>
      </w:pPr>
      <w:r>
        <w:rPr>
          <w:rStyle w:val="Style11"/>
          <w:rFonts w:ascii="Times New Roman" w:hAnsi="Times New Roman"/>
        </w:rPr>
        <w:t>Назначение ЕДВ носит заявительный характер. Подать заявление можно через</w:t>
      </w:r>
      <w:r>
        <w:rPr>
          <w:rFonts w:ascii="Times New Roman" w:hAnsi="Times New Roman"/>
        </w:rPr>
        <w:t> </w:t>
      </w:r>
      <w:r>
        <w:rPr>
          <w:rStyle w:val="Style11"/>
          <w:rFonts w:ascii="Times New Roman" w:hAnsi="Times New Roman"/>
        </w:rPr>
        <w:t xml:space="preserve">личный кабинет на </w:t>
      </w:r>
      <w:hyperlink r:id="rId2">
        <w:r>
          <w:rPr>
            <w:rStyle w:val="Style11"/>
            <w:rFonts w:ascii="Times New Roman" w:hAnsi="Times New Roman"/>
          </w:rPr>
          <w:t>сайте ПФР</w:t>
        </w:r>
      </w:hyperlink>
      <w:r>
        <w:rPr>
          <w:rStyle w:val="Style11"/>
          <w:rFonts w:ascii="Times New Roman" w:hAnsi="Times New Roman"/>
        </w:rPr>
        <w:t xml:space="preserve"> и </w:t>
      </w:r>
      <w:hyperlink r:id="rId3">
        <w:r>
          <w:rPr>
            <w:rStyle w:val="Style11"/>
            <w:rFonts w:ascii="Times New Roman" w:hAnsi="Times New Roman"/>
          </w:rPr>
          <w:t>портале</w:t>
        </w:r>
      </w:hyperlink>
      <w:hyperlink r:id="rId4">
        <w:r>
          <w:rPr>
            <w:rStyle w:val="Style12"/>
            <w:rFonts w:ascii="Times New Roman" w:hAnsi="Times New Roman"/>
          </w:rPr>
          <w:t> </w:t>
        </w:r>
      </w:hyperlink>
      <w:r>
        <w:rPr>
          <w:rStyle w:val="Style11"/>
          <w:rFonts w:ascii="Times New Roman" w:hAnsi="Times New Roman"/>
        </w:rPr>
        <w:t>госуслуг</w:t>
      </w:r>
      <w:r>
        <w:rPr>
          <w:rFonts w:ascii="Times New Roman" w:hAnsi="Times New Roman"/>
        </w:rPr>
        <w:t xml:space="preserve"> </w:t>
      </w:r>
      <w:r>
        <w:rPr>
          <w:rStyle w:val="Style11"/>
          <w:rFonts w:ascii="Times New Roman" w:hAnsi="Times New Roman"/>
        </w:rPr>
        <w:t>или в любом территориальном органе ПФР или МФЦ.</w:t>
      </w:r>
    </w:p>
    <w:p>
      <w:pPr>
        <w:pStyle w:val="Style15"/>
        <w:spacing w:lineRule="auto" w:line="288" w:before="0" w:after="0"/>
        <w:ind w:left="0" w:right="0" w:hanging="0"/>
        <w:jc w:val="both"/>
        <w:rPr>
          <w:rStyle w:val="Style13"/>
          <w:rFonts w:ascii="Times New Roman" w:hAnsi="Times New Roman"/>
        </w:rPr>
      </w:pPr>
      <w:r>
        <w:rPr/>
      </w:r>
    </w:p>
    <w:p>
      <w:pPr>
        <w:pStyle w:val="Style15"/>
        <w:spacing w:lineRule="auto" w:line="288" w:before="0" w:after="0"/>
        <w:ind w:left="0" w:right="0" w:hanging="0"/>
        <w:jc w:val="both"/>
        <w:rPr/>
      </w:pPr>
      <w:r>
        <w:rPr>
          <w:rStyle w:val="Style13"/>
          <w:rFonts w:ascii="Times New Roman" w:hAnsi="Times New Roman"/>
        </w:rPr>
        <w:t>Исключение</w:t>
      </w:r>
      <w:r>
        <w:rPr>
          <w:rFonts w:ascii="Times New Roman" w:hAnsi="Times New Roman"/>
        </w:rPr>
        <w:t xml:space="preserve"> составляют граждане с инвалидностью, которые с 28.07.2020 (с даты вступления в силу приказа Минтруда России № 327н) освобождены от обязанности подавать заявление на установление выплаты, поскольку гражданам, признанными инвалидами, детьми-инвалидами, она устанавливается в беззаявительном порядке на основании выписки из акта освидетельствования гражданина, признанного инвалидом, поступившей из Федеральной государственной информационной системы «Федеральный реестр инвалидов» (ФГИС ФРИ), со дня признания гражданина инвалидом или ребенком-инвалидом.</w:t>
      </w:r>
    </w:p>
    <w:p>
      <w:pPr>
        <w:pStyle w:val="Style15"/>
        <w:spacing w:lineRule="auto" w:line="288" w:before="0" w:after="0"/>
        <w:ind w:left="0" w:right="0" w:hanging="0"/>
        <w:jc w:val="both"/>
        <w:rPr/>
      </w:pPr>
      <w:r>
        <w:rPr>
          <w:rStyle w:val="Style11"/>
          <w:rFonts w:ascii="Times New Roman" w:hAnsi="Times New Roman"/>
        </w:rPr>
        <w:t>УПФР в Краснослободском муниципальном районе РМ (межрайонное) напоминает, что в соответствии с временным порядком установления или подтверждения инвалидности, действующим до 1 октября 2021 года (постановление Правительства РФ от 11.02.2021 № 155), гражданам не требуется посещать ПФР для продления пенсии по инвалидности и ЕДВ.</w:t>
      </w:r>
    </w:p>
    <w:p>
      <w:pPr>
        <w:pStyle w:val="Style15"/>
        <w:spacing w:lineRule="auto" w:line="288" w:before="0" w:after="0"/>
        <w:ind w:left="0" w:right="0" w:hanging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В случае если гражданин одновременно имеет право на получение ЕДВ по нескольким основаниям в рамках одного закона, выплата устанавливается по одному основанию, предусматривающему более высокий размер выплаты. Индексация ЕДВ проводится один раз в год с 1 февраля.</w:t>
      </w:r>
    </w:p>
    <w:p>
      <w:pPr>
        <w:pStyle w:val="Style15"/>
        <w:spacing w:lineRule="auto" w:line="288" w:before="0" w:after="0"/>
        <w:ind w:left="0" w:right="0" w:hanging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Граждане, имеющие право на льготы и меры социальной поддержки в соответствии с федеральными законами, могут выбрать форму получения набора социальных услуг (НСУ): натуральную или денежную. Натуральная форма предполагает предоставление набора непосредственно в виде социальных услуг, денежный эквивалент выплачивается полностью или частично. С февраля 2021 года он проиндексирован до 1211,66 руб. в месяц и включает:</w:t>
      </w:r>
    </w:p>
    <w:p>
      <w:pPr>
        <w:pStyle w:val="Style15"/>
        <w:numPr>
          <w:ilvl w:val="0"/>
          <w:numId w:val="2"/>
        </w:numPr>
        <w:tabs>
          <w:tab w:val="left" w:pos="0" w:leader="none"/>
        </w:tabs>
        <w:spacing w:lineRule="auto" w:line="288" w:before="0" w:after="0"/>
        <w:ind w:left="0" w:right="0" w:hanging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предоставление лекарственных препаратов, медицинских изделий, продуктов лечебного питания – 933,25 руб.; </w:t>
      </w:r>
    </w:p>
    <w:p>
      <w:pPr>
        <w:pStyle w:val="Style15"/>
        <w:numPr>
          <w:ilvl w:val="0"/>
          <w:numId w:val="2"/>
        </w:numPr>
        <w:tabs>
          <w:tab w:val="left" w:pos="0" w:leader="none"/>
        </w:tabs>
        <w:spacing w:lineRule="auto" w:line="288" w:before="0" w:after="0"/>
        <w:ind w:left="0" w:right="0" w:hanging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предоставление путевки на санаторно-курортное лечение для профилактики основных заболеваний – 144,37 руб.; </w:t>
      </w:r>
    </w:p>
    <w:p>
      <w:pPr>
        <w:pStyle w:val="Style15"/>
        <w:numPr>
          <w:ilvl w:val="0"/>
          <w:numId w:val="2"/>
        </w:numPr>
        <w:tabs>
          <w:tab w:val="left" w:pos="0" w:leader="none"/>
        </w:tabs>
        <w:spacing w:lineRule="auto" w:line="288" w:before="0" w:after="0"/>
        <w:ind w:left="0" w:right="0" w:hanging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бесплатный проезд на пригородном железнодорожном транспорте или на междугородном транспорте к месту лечения и обратно – 134,04 руб. </w:t>
      </w:r>
    </w:p>
    <w:p>
      <w:pPr>
        <w:pStyle w:val="Style15"/>
        <w:spacing w:lineRule="auto" w:line="288" w:before="0" w:after="0"/>
        <w:ind w:left="0" w:right="0" w:hanging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Подать заявление по выбору формы и состава НСУ необходимо до 1 октября. Если ничего менять не нужно, то заявление не подается.</w:t>
      </w:r>
    </w:p>
    <w:p>
      <w:pPr>
        <w:pStyle w:val="Style15"/>
        <w:spacing w:lineRule="auto" w:line="288" w:before="0" w:after="0"/>
        <w:ind w:left="0" w:right="0" w:hanging="0"/>
        <w:jc w:val="both"/>
        <w:rPr/>
      </w:pPr>
      <w:r>
        <w:rPr>
          <w:rStyle w:val="Style11"/>
          <w:rFonts w:ascii="Times New Roman" w:hAnsi="Times New Roman"/>
        </w:rPr>
        <w:t>Дополнительное ежемесячное материальное обеспечение (ДЕМО) –</w:t>
      </w:r>
      <w:r>
        <w:rPr>
          <w:rFonts w:ascii="Times New Roman" w:hAnsi="Times New Roman"/>
        </w:rPr>
        <w:t> ежемесячные выплаты отдельным категориям граждан. Право на материальное обеспечение имеют только граждане Российской Федерации независимо от места их проживания. Размер выплаты составляет 500 или 1000 рублей в зависимости от льготной категории.</w:t>
      </w:r>
    </w:p>
    <w:p>
      <w:pPr>
        <w:pStyle w:val="Style15"/>
        <w:spacing w:lineRule="auto" w:line="288" w:before="0" w:after="0"/>
        <w:ind w:left="0" w:right="0" w:hanging="0"/>
        <w:jc w:val="both"/>
        <w:rPr/>
      </w:pPr>
      <w:r>
        <w:rPr>
          <w:rStyle w:val="Style11"/>
          <w:rFonts w:ascii="Times New Roman" w:hAnsi="Times New Roman"/>
        </w:rPr>
        <w:t>ДЕМО в размере 1 000 руб. устанавливается:</w:t>
      </w:r>
    </w:p>
    <w:p>
      <w:pPr>
        <w:pStyle w:val="Style15"/>
        <w:numPr>
          <w:ilvl w:val="0"/>
          <w:numId w:val="3"/>
        </w:numPr>
        <w:tabs>
          <w:tab w:val="left" w:pos="0" w:leader="none"/>
        </w:tabs>
        <w:spacing w:lineRule="auto" w:line="288" w:before="0" w:after="0"/>
        <w:ind w:left="0" w:right="0" w:hanging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инвалидам и участникам Великой Отечественной войны; </w:t>
      </w:r>
    </w:p>
    <w:p>
      <w:pPr>
        <w:pStyle w:val="Style15"/>
        <w:numPr>
          <w:ilvl w:val="0"/>
          <w:numId w:val="3"/>
        </w:numPr>
        <w:tabs>
          <w:tab w:val="left" w:pos="0" w:leader="none"/>
        </w:tabs>
        <w:spacing w:lineRule="auto" w:line="288" w:before="0" w:after="0"/>
        <w:ind w:left="0" w:right="0" w:hanging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инвалидам вследствие военной травмы; </w:t>
      </w:r>
    </w:p>
    <w:p>
      <w:pPr>
        <w:pStyle w:val="Style15"/>
        <w:numPr>
          <w:ilvl w:val="0"/>
          <w:numId w:val="3"/>
        </w:numPr>
        <w:tabs>
          <w:tab w:val="left" w:pos="0" w:leader="none"/>
        </w:tabs>
        <w:spacing w:lineRule="auto" w:line="288" w:before="0" w:after="0"/>
        <w:ind w:left="0" w:right="0" w:hanging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бывшим несовершеннолетним узникам концлагерей, гетто и других мест принудительного содержания. </w:t>
      </w:r>
    </w:p>
    <w:p>
      <w:pPr>
        <w:pStyle w:val="Style15"/>
        <w:spacing w:lineRule="auto" w:line="288" w:before="0" w:after="0"/>
        <w:ind w:left="0" w:right="0" w:hanging="0"/>
        <w:jc w:val="both"/>
        <w:rPr/>
      </w:pPr>
      <w:r>
        <w:rPr>
          <w:rStyle w:val="Style11"/>
          <w:rFonts w:ascii="Times New Roman" w:hAnsi="Times New Roman"/>
        </w:rPr>
        <w:t>ДЕМО в размере 500 руб. устанавливается:</w:t>
      </w:r>
    </w:p>
    <w:p>
      <w:pPr>
        <w:pStyle w:val="Style15"/>
        <w:numPr>
          <w:ilvl w:val="0"/>
          <w:numId w:val="4"/>
        </w:numPr>
        <w:tabs>
          <w:tab w:val="left" w:pos="0" w:leader="none"/>
        </w:tabs>
        <w:spacing w:lineRule="auto" w:line="288" w:before="0" w:after="0"/>
        <w:ind w:left="0" w:right="0" w:hanging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военнослужащим, проходившим военную службу в воинских частях, учреждениях, военно-учебных заведениях, не входивших в состав действующей армии, в период с 22 июня 1941 года по 3 сентября 1945 года не менее шести месяцев, а также военнослужащим, награжденным орденами или медалями СССР за службу в указанный период; </w:t>
      </w:r>
    </w:p>
    <w:p>
      <w:pPr>
        <w:pStyle w:val="Style15"/>
        <w:numPr>
          <w:ilvl w:val="0"/>
          <w:numId w:val="4"/>
        </w:numPr>
        <w:tabs>
          <w:tab w:val="left" w:pos="0" w:leader="none"/>
        </w:tabs>
        <w:spacing w:lineRule="auto" w:line="288" w:before="0" w:after="0"/>
        <w:ind w:left="0" w:right="0" w:hanging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вдовам погибших в годы войны военнослужащих; </w:t>
      </w:r>
    </w:p>
    <w:p>
      <w:pPr>
        <w:pStyle w:val="Style15"/>
        <w:numPr>
          <w:ilvl w:val="0"/>
          <w:numId w:val="4"/>
        </w:numPr>
        <w:tabs>
          <w:tab w:val="left" w:pos="0" w:leader="none"/>
        </w:tabs>
        <w:spacing w:lineRule="auto" w:line="288" w:before="0" w:after="0"/>
        <w:ind w:left="0" w:right="0" w:hanging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вдовам инвалидов Великой Отечественной войны; </w:t>
      </w:r>
    </w:p>
    <w:p>
      <w:pPr>
        <w:pStyle w:val="Style15"/>
        <w:numPr>
          <w:ilvl w:val="0"/>
          <w:numId w:val="4"/>
        </w:numPr>
        <w:tabs>
          <w:tab w:val="left" w:pos="0" w:leader="none"/>
        </w:tabs>
        <w:spacing w:lineRule="auto" w:line="288" w:before="0" w:after="0"/>
        <w:ind w:left="0" w:right="0" w:hanging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лицам, награжденным знаком «Жителю блокадного Ленинграда»; </w:t>
      </w:r>
    </w:p>
    <w:p>
      <w:pPr>
        <w:pStyle w:val="Style15"/>
        <w:numPr>
          <w:ilvl w:val="0"/>
          <w:numId w:val="4"/>
        </w:numPr>
        <w:tabs>
          <w:tab w:val="left" w:pos="0" w:leader="none"/>
        </w:tabs>
        <w:spacing w:lineRule="auto" w:line="288" w:before="0" w:after="0"/>
        <w:ind w:left="0" w:right="0" w:hanging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бывшим совершеннолетним узникам нацистских концлагерей, тюрем и гетто. </w:t>
      </w:r>
    </w:p>
    <w:p>
      <w:pPr>
        <w:pStyle w:val="Style15"/>
        <w:spacing w:lineRule="auto" w:line="288" w:before="0" w:after="0"/>
        <w:ind w:left="0" w:right="0" w:hanging="0"/>
        <w:jc w:val="both"/>
        <w:rPr>
          <w:rFonts w:ascii="Times New Roman" w:hAnsi="Times New Roman"/>
        </w:rPr>
      </w:pPr>
      <w:r>
        <w:rPr/>
      </w:r>
    </w:p>
    <w:p>
      <w:pPr>
        <w:pStyle w:val="Style15"/>
        <w:spacing w:lineRule="auto" w:line="288" w:before="0" w:after="0"/>
        <w:ind w:left="0" w:right="0" w:hanging="0"/>
        <w:jc w:val="both"/>
        <w:rPr/>
      </w:pPr>
      <w:r>
        <w:rPr>
          <w:rFonts w:ascii="Times New Roman" w:hAnsi="Times New Roman"/>
        </w:rPr>
        <w:t>ДЕМО выплачивается территориальным органом ПФР одновременно с пенсией. Гражданам, имеющим право на ДЕМО, но не реализовавшим его своевременно, </w:t>
      </w:r>
      <w:r>
        <w:rPr>
          <w:rStyle w:val="Style13"/>
          <w:rFonts w:ascii="Times New Roman" w:hAnsi="Times New Roman"/>
        </w:rPr>
        <w:t>необходимо подать заявление о назначении этой выплаты</w:t>
      </w:r>
      <w:r>
        <w:rPr>
          <w:rFonts w:ascii="Times New Roman" w:hAnsi="Times New Roman"/>
        </w:rPr>
        <w:t> в территориальный орган ПФР по месту жительства. Если гражданин имеет право на ДЕМО, но он не является пенсионером, эта выплата также назначается и выплачивается территориальными органами ПФР по месту жительства, а в случае постоянного проживания за пределами России – Пенсионным фондом Российской Федерации. Граждане РФ, постоянно проживающие за пределами территории РФ, подтверждают гражданство на дату обращения за назначением ДЕМО.</w:t>
      </w:r>
    </w:p>
    <w:p>
      <w:pPr>
        <w:pStyle w:val="Style15"/>
        <w:spacing w:lineRule="auto" w:line="288" w:before="0" w:after="0"/>
        <w:ind w:left="0" w:right="0" w:hanging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В случае если гражданин одновременно имеет право на получение ДЕМО по нескольким основаниям, оно устанавливается по одному основанию, предусматривающему более высокий размер выплаты.</w:t>
      </w:r>
    </w:p>
    <w:p>
      <w:pPr>
        <w:pStyle w:val="Style15"/>
        <w:spacing w:lineRule="auto" w:line="288" w:before="0" w:after="0"/>
        <w:ind w:left="0" w:right="0" w:hanging="0"/>
        <w:jc w:val="both"/>
        <w:rPr/>
      </w:pPr>
      <w:r>
        <w:rPr>
          <w:rStyle w:val="Style11"/>
          <w:rFonts w:ascii="Times New Roman" w:hAnsi="Times New Roman"/>
        </w:rPr>
        <w:t>Дополнительное материальное обеспечение (ДМО)</w:t>
      </w:r>
      <w:r>
        <w:rPr>
          <w:rFonts w:ascii="Times New Roman" w:hAnsi="Times New Roman"/>
        </w:rPr>
        <w:t> – выплата, которая полагается гражданам Российской Федерации  за выдающиеся достижения в области науки и техники, образования, культуры, литературы и искусства и особые заслуги перед Российской Федерацией.</w:t>
      </w:r>
    </w:p>
    <w:p>
      <w:pPr>
        <w:pStyle w:val="Style15"/>
        <w:spacing w:lineRule="auto" w:line="288" w:before="0" w:after="0"/>
        <w:ind w:left="0" w:right="0" w:hanging="0"/>
        <w:jc w:val="both"/>
        <w:rPr/>
      </w:pPr>
      <w:r>
        <w:rPr>
          <w:rFonts w:ascii="Times New Roman" w:hAnsi="Times New Roman"/>
        </w:rPr>
        <w:t>Данная выплата устанавливается к пенсиям, назначенным в соответствии с законодательством РФ. Самая высокая выплата ДМО предоставляется Героям Советского Союза, Социалистического Труда, обладателям ордена Славы трех степеней, а также пенсионерам, удостоившимся звания Героя РФ, ордена Святого апостола Андрея Первозванного или ордена «За заслуги перед Отечеством» I степени. Размер ДМО привязан к размеру социальной пенсии и, соответственно, различается для категорий получателей этой доплаты. Выплата ДМО производится одновременно с выплатой соответствующей пенсии.</w:t>
      </w:r>
      <w:r>
        <w:rPr>
          <w:rStyle w:val="Style13"/>
          <w:rFonts w:ascii="Times New Roman" w:hAnsi="Times New Roman"/>
        </w:rPr>
        <w:t> </w:t>
      </w:r>
    </w:p>
    <w:p>
      <w:pPr>
        <w:pStyle w:val="Style15"/>
        <w:spacing w:lineRule="auto" w:line="288" w:before="0" w:after="0"/>
        <w:ind w:left="0" w:right="0" w:hanging="0"/>
        <w:jc w:val="both"/>
        <w:rPr/>
      </w:pPr>
      <w:r>
        <w:rPr>
          <w:rStyle w:val="Style11"/>
          <w:rFonts w:ascii="Times New Roman" w:hAnsi="Times New Roman"/>
        </w:rPr>
        <w:t>Обращаем внимание: ДМО не выплачивается в период выполнения оплачиваемой работы.</w:t>
      </w:r>
    </w:p>
    <w:p>
      <w:pPr>
        <w:pStyle w:val="Style15"/>
        <w:spacing w:lineRule="auto" w:line="288" w:before="0" w:after="0"/>
        <w:ind w:left="0" w:right="0" w:hanging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  <w:docGrid w:type="default" w:linePitch="24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Times New Roman">
    <w:charset w:val="01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bullet"/>
      <w:lvlText w:val=""/>
      <w:lvlJc w:val="left"/>
      <w:pPr>
        <w:tabs>
          <w:tab w:val="num" w:pos="707"/>
        </w:tabs>
        <w:ind w:left="707" w:hanging="283"/>
      </w:pPr>
      <w:rPr>
        <w:rFonts w:ascii="Symbol" w:hAnsi="Symbol" w:cs="Symbol" w:hint="default"/>
        <w:rFonts w:cs="OpenSymbol"/>
      </w:rPr>
    </w:lvl>
    <w:lvl w:ilvl="1">
      <w:start w:val="1"/>
      <w:numFmt w:val="bullet"/>
      <w:lvlText w:val=""/>
      <w:lvlJc w:val="left"/>
      <w:pPr>
        <w:tabs>
          <w:tab w:val="num" w:pos="1414"/>
        </w:tabs>
        <w:ind w:left="1414" w:hanging="283"/>
      </w:pPr>
      <w:rPr>
        <w:rFonts w:ascii="Symbol" w:hAnsi="Symbol" w:cs="Symbol" w:hint="default"/>
        <w:rFonts w:cs="OpenSymbol"/>
      </w:rPr>
    </w:lvl>
    <w:lvl w:ilvl="2">
      <w:start w:val="1"/>
      <w:numFmt w:val="bullet"/>
      <w:lvlText w:val=""/>
      <w:lvlJc w:val="left"/>
      <w:pPr>
        <w:tabs>
          <w:tab w:val="num" w:pos="2121"/>
        </w:tabs>
        <w:ind w:left="2121" w:hanging="283"/>
      </w:pPr>
      <w:rPr>
        <w:rFonts w:ascii="Symbol" w:hAnsi="Symbol" w:cs="Symbol" w:hint="default"/>
        <w:rFonts w:cs="OpenSymbol"/>
      </w:rPr>
    </w:lvl>
    <w:lvl w:ilvl="3">
      <w:start w:val="1"/>
      <w:numFmt w:val="bullet"/>
      <w:lvlText w:val=""/>
      <w:lvlJc w:val="left"/>
      <w:pPr>
        <w:tabs>
          <w:tab w:val="num" w:pos="2828"/>
        </w:tabs>
        <w:ind w:left="2828" w:hanging="283"/>
      </w:pPr>
      <w:rPr>
        <w:rFonts w:ascii="Symbol" w:hAnsi="Symbol" w:cs="Symbol" w:hint="default"/>
        <w:rFonts w:cs="OpenSymbol"/>
      </w:rPr>
    </w:lvl>
    <w:lvl w:ilvl="4">
      <w:start w:val="1"/>
      <w:numFmt w:val="bullet"/>
      <w:lvlText w:val=""/>
      <w:lvlJc w:val="left"/>
      <w:pPr>
        <w:tabs>
          <w:tab w:val="num" w:pos="3535"/>
        </w:tabs>
        <w:ind w:left="3535" w:hanging="283"/>
      </w:pPr>
      <w:rPr>
        <w:rFonts w:ascii="Symbol" w:hAnsi="Symbol" w:cs="Symbol" w:hint="default"/>
        <w:rFonts w:cs="OpenSymbol"/>
      </w:rPr>
    </w:lvl>
    <w:lvl w:ilvl="5">
      <w:start w:val="1"/>
      <w:numFmt w:val="bullet"/>
      <w:lvlText w:val=""/>
      <w:lvlJc w:val="left"/>
      <w:pPr>
        <w:tabs>
          <w:tab w:val="num" w:pos="4242"/>
        </w:tabs>
        <w:ind w:left="4242" w:hanging="283"/>
      </w:pPr>
      <w:rPr>
        <w:rFonts w:ascii="Symbol" w:hAnsi="Symbol" w:cs="Symbol" w:hint="default"/>
        <w:rFonts w:cs="OpenSymbol"/>
      </w:rPr>
    </w:lvl>
    <w:lvl w:ilvl="6">
      <w:start w:val="1"/>
      <w:numFmt w:val="bullet"/>
      <w:lvlText w:val=""/>
      <w:lvlJc w:val="left"/>
      <w:pPr>
        <w:tabs>
          <w:tab w:val="num" w:pos="4949"/>
        </w:tabs>
        <w:ind w:left="4949" w:hanging="283"/>
      </w:pPr>
      <w:rPr>
        <w:rFonts w:ascii="Symbol" w:hAnsi="Symbol" w:cs="Symbol" w:hint="default"/>
        <w:rFonts w:cs="OpenSymbol"/>
      </w:rPr>
    </w:lvl>
    <w:lvl w:ilvl="7">
      <w:start w:val="1"/>
      <w:numFmt w:val="bullet"/>
      <w:lvlText w:val=""/>
      <w:lvlJc w:val="left"/>
      <w:pPr>
        <w:tabs>
          <w:tab w:val="num" w:pos="5656"/>
        </w:tabs>
        <w:ind w:left="5656" w:hanging="283"/>
      </w:pPr>
      <w:rPr>
        <w:rFonts w:ascii="Symbol" w:hAnsi="Symbol" w:cs="Symbol" w:hint="default"/>
        <w:rFonts w:cs="OpenSymbol"/>
      </w:rPr>
    </w:lvl>
    <w:lvl w:ilvl="8">
      <w:start w:val="1"/>
      <w:numFmt w:val="bullet"/>
      <w:lvlText w:val=""/>
      <w:lvlJc w:val="left"/>
      <w:pPr>
        <w:tabs>
          <w:tab w:val="num" w:pos="6363"/>
        </w:tabs>
        <w:ind w:left="6363" w:hanging="283"/>
      </w:pPr>
      <w:rPr>
        <w:rFonts w:ascii="Symbol" w:hAnsi="Symbol" w:cs="Symbol" w:hint="default"/>
        <w:rFonts w:cs="OpenSymbol"/>
      </w:rPr>
    </w:lvl>
  </w:abstractNum>
  <w:abstractNum w:abstractNumId="2">
    <w:lvl w:ilvl="0">
      <w:start w:val="1"/>
      <w:numFmt w:val="bullet"/>
      <w:lvlText w:val=""/>
      <w:lvlJc w:val="left"/>
      <w:pPr>
        <w:tabs>
          <w:tab w:val="num" w:pos="707"/>
        </w:tabs>
        <w:ind w:left="707" w:hanging="283"/>
      </w:pPr>
      <w:rPr>
        <w:rFonts w:ascii="Symbol" w:hAnsi="Symbol" w:cs="Symbol" w:hint="default"/>
        <w:rFonts w:cs="OpenSymbol"/>
      </w:rPr>
    </w:lvl>
    <w:lvl w:ilvl="1">
      <w:start w:val="1"/>
      <w:numFmt w:val="bullet"/>
      <w:lvlText w:val=""/>
      <w:lvlJc w:val="left"/>
      <w:pPr>
        <w:tabs>
          <w:tab w:val="num" w:pos="1414"/>
        </w:tabs>
        <w:ind w:left="1414" w:hanging="283"/>
      </w:pPr>
      <w:rPr>
        <w:rFonts w:ascii="Symbol" w:hAnsi="Symbol" w:cs="Symbol" w:hint="default"/>
        <w:rFonts w:cs="OpenSymbol"/>
      </w:rPr>
    </w:lvl>
    <w:lvl w:ilvl="2">
      <w:start w:val="1"/>
      <w:numFmt w:val="bullet"/>
      <w:lvlText w:val=""/>
      <w:lvlJc w:val="left"/>
      <w:pPr>
        <w:tabs>
          <w:tab w:val="num" w:pos="2121"/>
        </w:tabs>
        <w:ind w:left="2121" w:hanging="283"/>
      </w:pPr>
      <w:rPr>
        <w:rFonts w:ascii="Symbol" w:hAnsi="Symbol" w:cs="Symbol" w:hint="default"/>
        <w:rFonts w:cs="OpenSymbol"/>
      </w:rPr>
    </w:lvl>
    <w:lvl w:ilvl="3">
      <w:start w:val="1"/>
      <w:numFmt w:val="bullet"/>
      <w:lvlText w:val=""/>
      <w:lvlJc w:val="left"/>
      <w:pPr>
        <w:tabs>
          <w:tab w:val="num" w:pos="2828"/>
        </w:tabs>
        <w:ind w:left="2828" w:hanging="283"/>
      </w:pPr>
      <w:rPr>
        <w:rFonts w:ascii="Symbol" w:hAnsi="Symbol" w:cs="Symbol" w:hint="default"/>
        <w:rFonts w:cs="OpenSymbol"/>
      </w:rPr>
    </w:lvl>
    <w:lvl w:ilvl="4">
      <w:start w:val="1"/>
      <w:numFmt w:val="bullet"/>
      <w:lvlText w:val=""/>
      <w:lvlJc w:val="left"/>
      <w:pPr>
        <w:tabs>
          <w:tab w:val="num" w:pos="3535"/>
        </w:tabs>
        <w:ind w:left="3535" w:hanging="283"/>
      </w:pPr>
      <w:rPr>
        <w:rFonts w:ascii="Symbol" w:hAnsi="Symbol" w:cs="Symbol" w:hint="default"/>
        <w:rFonts w:cs="OpenSymbol"/>
      </w:rPr>
    </w:lvl>
    <w:lvl w:ilvl="5">
      <w:start w:val="1"/>
      <w:numFmt w:val="bullet"/>
      <w:lvlText w:val=""/>
      <w:lvlJc w:val="left"/>
      <w:pPr>
        <w:tabs>
          <w:tab w:val="num" w:pos="4242"/>
        </w:tabs>
        <w:ind w:left="4242" w:hanging="283"/>
      </w:pPr>
      <w:rPr>
        <w:rFonts w:ascii="Symbol" w:hAnsi="Symbol" w:cs="Symbol" w:hint="default"/>
        <w:rFonts w:cs="OpenSymbol"/>
      </w:rPr>
    </w:lvl>
    <w:lvl w:ilvl="6">
      <w:start w:val="1"/>
      <w:numFmt w:val="bullet"/>
      <w:lvlText w:val=""/>
      <w:lvlJc w:val="left"/>
      <w:pPr>
        <w:tabs>
          <w:tab w:val="num" w:pos="4949"/>
        </w:tabs>
        <w:ind w:left="4949" w:hanging="283"/>
      </w:pPr>
      <w:rPr>
        <w:rFonts w:ascii="Symbol" w:hAnsi="Symbol" w:cs="Symbol" w:hint="default"/>
        <w:rFonts w:cs="OpenSymbol"/>
      </w:rPr>
    </w:lvl>
    <w:lvl w:ilvl="7">
      <w:start w:val="1"/>
      <w:numFmt w:val="bullet"/>
      <w:lvlText w:val=""/>
      <w:lvlJc w:val="left"/>
      <w:pPr>
        <w:tabs>
          <w:tab w:val="num" w:pos="5656"/>
        </w:tabs>
        <w:ind w:left="5656" w:hanging="283"/>
      </w:pPr>
      <w:rPr>
        <w:rFonts w:ascii="Symbol" w:hAnsi="Symbol" w:cs="Symbol" w:hint="default"/>
        <w:rFonts w:cs="OpenSymbol"/>
      </w:rPr>
    </w:lvl>
    <w:lvl w:ilvl="8">
      <w:start w:val="1"/>
      <w:numFmt w:val="bullet"/>
      <w:lvlText w:val=""/>
      <w:lvlJc w:val="left"/>
      <w:pPr>
        <w:tabs>
          <w:tab w:val="num" w:pos="6363"/>
        </w:tabs>
        <w:ind w:left="6363" w:hanging="283"/>
      </w:pPr>
      <w:rPr>
        <w:rFonts w:ascii="Symbol" w:hAnsi="Symbol" w:cs="Symbol" w:hint="default"/>
        <w:rFonts w:cs="OpenSymbol"/>
      </w:rPr>
    </w:lvl>
  </w:abstractNum>
  <w:abstractNum w:abstractNumId="3">
    <w:lvl w:ilvl="0">
      <w:start w:val="1"/>
      <w:numFmt w:val="bullet"/>
      <w:lvlText w:val=""/>
      <w:lvlJc w:val="left"/>
      <w:pPr>
        <w:tabs>
          <w:tab w:val="num" w:pos="707"/>
        </w:tabs>
        <w:ind w:left="707" w:hanging="283"/>
      </w:pPr>
      <w:rPr>
        <w:rFonts w:ascii="Symbol" w:hAnsi="Symbol" w:cs="Symbol" w:hint="default"/>
        <w:rFonts w:cs="OpenSymbol"/>
      </w:rPr>
    </w:lvl>
    <w:lvl w:ilvl="1">
      <w:start w:val="1"/>
      <w:numFmt w:val="bullet"/>
      <w:lvlText w:val=""/>
      <w:lvlJc w:val="left"/>
      <w:pPr>
        <w:tabs>
          <w:tab w:val="num" w:pos="1414"/>
        </w:tabs>
        <w:ind w:left="1414" w:hanging="283"/>
      </w:pPr>
      <w:rPr>
        <w:rFonts w:ascii="Symbol" w:hAnsi="Symbol" w:cs="Symbol" w:hint="default"/>
        <w:rFonts w:cs="OpenSymbol"/>
      </w:rPr>
    </w:lvl>
    <w:lvl w:ilvl="2">
      <w:start w:val="1"/>
      <w:numFmt w:val="bullet"/>
      <w:lvlText w:val=""/>
      <w:lvlJc w:val="left"/>
      <w:pPr>
        <w:tabs>
          <w:tab w:val="num" w:pos="2121"/>
        </w:tabs>
        <w:ind w:left="2121" w:hanging="283"/>
      </w:pPr>
      <w:rPr>
        <w:rFonts w:ascii="Symbol" w:hAnsi="Symbol" w:cs="Symbol" w:hint="default"/>
        <w:rFonts w:cs="OpenSymbol"/>
      </w:rPr>
    </w:lvl>
    <w:lvl w:ilvl="3">
      <w:start w:val="1"/>
      <w:numFmt w:val="bullet"/>
      <w:lvlText w:val=""/>
      <w:lvlJc w:val="left"/>
      <w:pPr>
        <w:tabs>
          <w:tab w:val="num" w:pos="2828"/>
        </w:tabs>
        <w:ind w:left="2828" w:hanging="283"/>
      </w:pPr>
      <w:rPr>
        <w:rFonts w:ascii="Symbol" w:hAnsi="Symbol" w:cs="Symbol" w:hint="default"/>
        <w:rFonts w:cs="OpenSymbol"/>
      </w:rPr>
    </w:lvl>
    <w:lvl w:ilvl="4">
      <w:start w:val="1"/>
      <w:numFmt w:val="bullet"/>
      <w:lvlText w:val=""/>
      <w:lvlJc w:val="left"/>
      <w:pPr>
        <w:tabs>
          <w:tab w:val="num" w:pos="3535"/>
        </w:tabs>
        <w:ind w:left="3535" w:hanging="283"/>
      </w:pPr>
      <w:rPr>
        <w:rFonts w:ascii="Symbol" w:hAnsi="Symbol" w:cs="Symbol" w:hint="default"/>
        <w:rFonts w:cs="OpenSymbol"/>
      </w:rPr>
    </w:lvl>
    <w:lvl w:ilvl="5">
      <w:start w:val="1"/>
      <w:numFmt w:val="bullet"/>
      <w:lvlText w:val=""/>
      <w:lvlJc w:val="left"/>
      <w:pPr>
        <w:tabs>
          <w:tab w:val="num" w:pos="4242"/>
        </w:tabs>
        <w:ind w:left="4242" w:hanging="283"/>
      </w:pPr>
      <w:rPr>
        <w:rFonts w:ascii="Symbol" w:hAnsi="Symbol" w:cs="Symbol" w:hint="default"/>
        <w:rFonts w:cs="OpenSymbol"/>
      </w:rPr>
    </w:lvl>
    <w:lvl w:ilvl="6">
      <w:start w:val="1"/>
      <w:numFmt w:val="bullet"/>
      <w:lvlText w:val=""/>
      <w:lvlJc w:val="left"/>
      <w:pPr>
        <w:tabs>
          <w:tab w:val="num" w:pos="4949"/>
        </w:tabs>
        <w:ind w:left="4949" w:hanging="283"/>
      </w:pPr>
      <w:rPr>
        <w:rFonts w:ascii="Symbol" w:hAnsi="Symbol" w:cs="Symbol" w:hint="default"/>
        <w:rFonts w:cs="OpenSymbol"/>
      </w:rPr>
    </w:lvl>
    <w:lvl w:ilvl="7">
      <w:start w:val="1"/>
      <w:numFmt w:val="bullet"/>
      <w:lvlText w:val=""/>
      <w:lvlJc w:val="left"/>
      <w:pPr>
        <w:tabs>
          <w:tab w:val="num" w:pos="5656"/>
        </w:tabs>
        <w:ind w:left="5656" w:hanging="283"/>
      </w:pPr>
      <w:rPr>
        <w:rFonts w:ascii="Symbol" w:hAnsi="Symbol" w:cs="Symbol" w:hint="default"/>
        <w:rFonts w:cs="OpenSymbol"/>
      </w:rPr>
    </w:lvl>
    <w:lvl w:ilvl="8">
      <w:start w:val="1"/>
      <w:numFmt w:val="bullet"/>
      <w:lvlText w:val=""/>
      <w:lvlJc w:val="left"/>
      <w:pPr>
        <w:tabs>
          <w:tab w:val="num" w:pos="6363"/>
        </w:tabs>
        <w:ind w:left="6363" w:hanging="283"/>
      </w:pPr>
      <w:rPr>
        <w:rFonts w:ascii="Symbol" w:hAnsi="Symbol" w:cs="Symbol" w:hint="default"/>
        <w:rFonts w:cs="OpenSymbol"/>
      </w:rPr>
    </w:lvl>
  </w:abstractNum>
  <w:abstractNum w:abstractNumId="4">
    <w:lvl w:ilvl="0">
      <w:start w:val="1"/>
      <w:numFmt w:val="bullet"/>
      <w:lvlText w:val=""/>
      <w:lvlJc w:val="left"/>
      <w:pPr>
        <w:tabs>
          <w:tab w:val="num" w:pos="707"/>
        </w:tabs>
        <w:ind w:left="707" w:hanging="283"/>
      </w:pPr>
      <w:rPr>
        <w:rFonts w:ascii="Symbol" w:hAnsi="Symbol" w:cs="Symbol" w:hint="default"/>
        <w:rFonts w:cs="OpenSymbol"/>
      </w:rPr>
    </w:lvl>
    <w:lvl w:ilvl="1">
      <w:start w:val="1"/>
      <w:numFmt w:val="bullet"/>
      <w:lvlText w:val=""/>
      <w:lvlJc w:val="left"/>
      <w:pPr>
        <w:tabs>
          <w:tab w:val="num" w:pos="1414"/>
        </w:tabs>
        <w:ind w:left="1414" w:hanging="283"/>
      </w:pPr>
      <w:rPr>
        <w:rFonts w:ascii="Symbol" w:hAnsi="Symbol" w:cs="Symbol" w:hint="default"/>
        <w:rFonts w:cs="OpenSymbol"/>
      </w:rPr>
    </w:lvl>
    <w:lvl w:ilvl="2">
      <w:start w:val="1"/>
      <w:numFmt w:val="bullet"/>
      <w:lvlText w:val=""/>
      <w:lvlJc w:val="left"/>
      <w:pPr>
        <w:tabs>
          <w:tab w:val="num" w:pos="2121"/>
        </w:tabs>
        <w:ind w:left="2121" w:hanging="283"/>
      </w:pPr>
      <w:rPr>
        <w:rFonts w:ascii="Symbol" w:hAnsi="Symbol" w:cs="Symbol" w:hint="default"/>
        <w:rFonts w:cs="OpenSymbol"/>
      </w:rPr>
    </w:lvl>
    <w:lvl w:ilvl="3">
      <w:start w:val="1"/>
      <w:numFmt w:val="bullet"/>
      <w:lvlText w:val=""/>
      <w:lvlJc w:val="left"/>
      <w:pPr>
        <w:tabs>
          <w:tab w:val="num" w:pos="2828"/>
        </w:tabs>
        <w:ind w:left="2828" w:hanging="283"/>
      </w:pPr>
      <w:rPr>
        <w:rFonts w:ascii="Symbol" w:hAnsi="Symbol" w:cs="Symbol" w:hint="default"/>
        <w:rFonts w:cs="OpenSymbol"/>
      </w:rPr>
    </w:lvl>
    <w:lvl w:ilvl="4">
      <w:start w:val="1"/>
      <w:numFmt w:val="bullet"/>
      <w:lvlText w:val=""/>
      <w:lvlJc w:val="left"/>
      <w:pPr>
        <w:tabs>
          <w:tab w:val="num" w:pos="3535"/>
        </w:tabs>
        <w:ind w:left="3535" w:hanging="283"/>
      </w:pPr>
      <w:rPr>
        <w:rFonts w:ascii="Symbol" w:hAnsi="Symbol" w:cs="Symbol" w:hint="default"/>
        <w:rFonts w:cs="OpenSymbol"/>
      </w:rPr>
    </w:lvl>
    <w:lvl w:ilvl="5">
      <w:start w:val="1"/>
      <w:numFmt w:val="bullet"/>
      <w:lvlText w:val=""/>
      <w:lvlJc w:val="left"/>
      <w:pPr>
        <w:tabs>
          <w:tab w:val="num" w:pos="4242"/>
        </w:tabs>
        <w:ind w:left="4242" w:hanging="283"/>
      </w:pPr>
      <w:rPr>
        <w:rFonts w:ascii="Symbol" w:hAnsi="Symbol" w:cs="Symbol" w:hint="default"/>
        <w:rFonts w:cs="OpenSymbol"/>
      </w:rPr>
    </w:lvl>
    <w:lvl w:ilvl="6">
      <w:start w:val="1"/>
      <w:numFmt w:val="bullet"/>
      <w:lvlText w:val=""/>
      <w:lvlJc w:val="left"/>
      <w:pPr>
        <w:tabs>
          <w:tab w:val="num" w:pos="4949"/>
        </w:tabs>
        <w:ind w:left="4949" w:hanging="283"/>
      </w:pPr>
      <w:rPr>
        <w:rFonts w:ascii="Symbol" w:hAnsi="Symbol" w:cs="Symbol" w:hint="default"/>
        <w:rFonts w:cs="OpenSymbol"/>
      </w:rPr>
    </w:lvl>
    <w:lvl w:ilvl="7">
      <w:start w:val="1"/>
      <w:numFmt w:val="bullet"/>
      <w:lvlText w:val=""/>
      <w:lvlJc w:val="left"/>
      <w:pPr>
        <w:tabs>
          <w:tab w:val="num" w:pos="5656"/>
        </w:tabs>
        <w:ind w:left="5656" w:hanging="283"/>
      </w:pPr>
      <w:rPr>
        <w:rFonts w:ascii="Symbol" w:hAnsi="Symbol" w:cs="Symbol" w:hint="default"/>
        <w:rFonts w:cs="OpenSymbol"/>
      </w:rPr>
    </w:lvl>
    <w:lvl w:ilvl="8">
      <w:start w:val="1"/>
      <w:numFmt w:val="bullet"/>
      <w:lvlText w:val=""/>
      <w:lvlJc w:val="left"/>
      <w:pPr>
        <w:tabs>
          <w:tab w:val="num" w:pos="6363"/>
        </w:tabs>
        <w:ind w:left="6363" w:hanging="283"/>
      </w:pPr>
      <w:rPr>
        <w:rFonts w:ascii="Symbol" w:hAnsi="Symbol" w:cs="Symbol" w:hint="default"/>
        <w:rFonts w:cs="OpenSymbol"/>
      </w:rPr>
    </w:lvl>
  </w:abstractNum>
  <w:abstractNum w:abstractNumId="5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</w:numbering>
</file>

<file path=word/settings.xml><?xml version="1.0" encoding="utf-8"?>
<w:settings xmlns:w="http://schemas.openxmlformats.org/wordprocessingml/2006/main">
  <w:zoom w:percent="89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bidi w:val="0"/>
      <w:jc w:val="left"/>
    </w:pPr>
    <w:rPr>
      <w:rFonts w:ascii="Liberation Serif" w:hAnsi="Liberation Serif" w:eastAsia="SimSun" w:cs="Mangal"/>
      <w:color w:val="00000A"/>
      <w:sz w:val="24"/>
      <w:szCs w:val="24"/>
      <w:lang w:val="ru-RU" w:eastAsia="zh-CN" w:bidi="hi-IN"/>
    </w:rPr>
  </w:style>
  <w:style w:type="paragraph" w:styleId="1">
    <w:name w:val="Заголовок 1"/>
    <w:basedOn w:val="Style14"/>
    <w:pPr>
      <w:spacing w:before="240" w:after="12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4"/>
    <w:pPr>
      <w:spacing w:before="200" w:after="120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4"/>
    <w:pPr>
      <w:spacing w:before="140" w:after="120"/>
      <w:outlineLvl w:val="2"/>
    </w:pPr>
    <w:rPr>
      <w:b/>
      <w:bCs/>
      <w:sz w:val="28"/>
      <w:szCs w:val="28"/>
    </w:rPr>
  </w:style>
  <w:style w:type="character" w:styleId="Style11">
    <w:name w:val="Выделение"/>
    <w:rPr>
      <w:i/>
      <w:iCs/>
    </w:rPr>
  </w:style>
  <w:style w:type="character" w:styleId="ListLabel3">
    <w:name w:val="ListLabel 3"/>
    <w:qFormat/>
    <w:rPr>
      <w:rFonts w:cs="OpenSymbol"/>
    </w:rPr>
  </w:style>
  <w:style w:type="character" w:styleId="Style12">
    <w:name w:val="Интернет-ссылка"/>
    <w:rPr>
      <w:color w:val="000080"/>
      <w:u w:val="single"/>
      <w:lang w:val="zxx" w:eastAsia="zxx" w:bidi="zxx"/>
    </w:rPr>
  </w:style>
  <w:style w:type="character" w:styleId="Style13">
    <w:name w:val="Выделение жирным"/>
    <w:rPr>
      <w:b/>
      <w:bCs/>
    </w:rPr>
  </w:style>
  <w:style w:type="paragraph" w:styleId="Style14">
    <w:name w:val="Заголовок"/>
    <w:basedOn w:val="Normal"/>
    <w:next w:val="Style15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5">
    <w:name w:val="Основной текст"/>
    <w:basedOn w:val="Normal"/>
    <w:pPr>
      <w:spacing w:lineRule="auto" w:line="288" w:before="0" w:after="140"/>
    </w:pPr>
    <w:rPr/>
  </w:style>
  <w:style w:type="paragraph" w:styleId="Style16">
    <w:name w:val="Список"/>
    <w:basedOn w:val="Style15"/>
    <w:pPr/>
    <w:rPr>
      <w:rFonts w:cs="Mangal"/>
    </w:rPr>
  </w:style>
  <w:style w:type="paragraph" w:styleId="Style17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8">
    <w:name w:val="Указатель"/>
    <w:basedOn w:val="Normal"/>
    <w:qFormat/>
    <w:pPr>
      <w:suppressLineNumbers/>
    </w:pPr>
    <w:rPr>
      <w:rFonts w:cs="Mangal"/>
    </w:rPr>
  </w:style>
  <w:style w:type="paragraph" w:styleId="Style19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20">
    <w:name w:val="Заглавие"/>
    <w:basedOn w:val="Style14"/>
    <w:pPr>
      <w:jc w:val="center"/>
    </w:pPr>
    <w:rPr>
      <w:b/>
      <w:bCs/>
      <w:sz w:val="56"/>
      <w:szCs w:val="56"/>
    </w:rPr>
  </w:style>
  <w:style w:type="paragraph" w:styleId="Style21">
    <w:name w:val="Подзаголовок"/>
    <w:basedOn w:val="Style14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s://es.pfrf.ru/" TargetMode="External"/><Relationship Id="rId3" Type="http://schemas.openxmlformats.org/officeDocument/2006/relationships/hyperlink" Target="https://www.gosuslugi.ru/" TargetMode="External"/><Relationship Id="rId4" Type="http://schemas.openxmlformats.org/officeDocument/2006/relationships/hyperlink" Target="https://www.gosuslugi.ru/" TargetMode="External"/><Relationship Id="rId5" Type="http://schemas.openxmlformats.org/officeDocument/2006/relationships/numbering" Target="numbering.xml"/><Relationship Id="rId6" Type="http://schemas.openxmlformats.org/officeDocument/2006/relationships/fontTable" Target="fontTable.xml"/><Relationship Id="rId7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2</TotalTime>
  <Application>LibreOffice/5.0.1.2$Windows_x86 LibreOffice_project/81898c9f5c0d43f3473ba111d7b351050be20261</Application>
  <Paragraphs>33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2021-04-29T08:51:46Z</dcterms:created>
  <dc:language>ru-RU</dc:language>
  <dcterms:modified xsi:type="dcterms:W3CDTF">2021-04-29T08:54:51Z</dcterms:modified>
  <cp:revision>1</cp:revision>
</cp:coreProperties>
</file>