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Как направить средства материнского капитала на улучшение жилищных условий, читайте на сайте ПФР: </w:t>
      </w:r>
      <w:hyperlink r:id="rId2" w:tgtFrame="_blank">
        <w:r>
          <w:rPr>
            <w:rStyle w:val="Style11"/>
          </w:rPr>
          <w:t>https://pfr.gov.ru/grazhdanam/msk/msk_housing/</w:t>
        </w:r>
      </w:hyperlink>
      <w:r>
        <w:rPr/>
        <w:t xml:space="preserve">. </w:t>
      </w:r>
    </w:p>
    <w:p>
      <w:pPr>
        <w:pStyle w:val="Style13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#семья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-224790</wp:posOffset>
            </wp:positionH>
            <wp:positionV relativeFrom="paragraph">
              <wp:posOffset>272415</wp:posOffset>
            </wp:positionV>
            <wp:extent cx="3973195" cy="397256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397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2641600</wp:posOffset>
            </wp:positionH>
            <wp:positionV relativeFrom="paragraph">
              <wp:posOffset>3773170</wp:posOffset>
            </wp:positionV>
            <wp:extent cx="3944620" cy="394462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msk_housing%2F&amp;post=-37475973_459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2021-04-21T17:01:25Z</dcterms:modified>
  <cp:revision>1</cp:revision>
</cp:coreProperties>
</file>