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lang w:val="ru-RU"/>
        </w:rPr>
        <w:t>УПФР в Краснослободском муниципальном районе РМ (межрайонное) сообщает</w:t>
      </w:r>
      <w:r>
        <w:rPr/>
        <w:t>, что средства материнского капитала или часть его средств могут быть направлены на приобретение товаров и услуг для социальной адаптации и интеграции в общество детей-инвалидов, посредством компенсации затрат на приобретение таких товаров и услуг.</w:t>
        <w:br/>
        <w:br/>
        <w:t>Средства можно направить как на родного ребенка-инвалида, так и на усыновленного, в том числе первого, второго, третьего ребенка-инвалида или последующих детей-инвалидов в любое время после рождения или усыновления ребенка, с рождением или усыновлением которого возникло право на получение сертификата. Подробнее на сайте ПФР:</w:t>
        <w:br/>
      </w:r>
      <w:hyperlink r:id="rId2" w:tgtFrame="_blank">
        <w:r>
          <w:rPr>
            <w:rStyle w:val="Style11"/>
          </w:rPr>
          <w:t>https://pfr.gov.ru/grazhdanam/msk/msk_adaptation/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58978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msk%2Fmsk_adaptation%2F&amp;post=-92575836_6761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2021-04-07T15:52:07Z</dcterms:modified>
  <cp:revision>1</cp:revision>
</cp:coreProperties>
</file>