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Быстрее и проще распоряжаться маткапиталом – через интернет.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Напомним, что электронные сервисы по распоряжению средствами программы размещены в личном кабинете гражданина на сайте ПФР в разделе «Материнский (семейный) капитал – МСК». Для того чтобы оформить ежемесячную выплату нужно выбрать услугу «О распоряжении средствами МСК на ежемесячную выплату в связи с рождением (усыновлением) второго ребенка». Направить средства программы на другие направления – улучшение жилищных условий, образование детей, формирование накопительной пенсии мамы, а также на социальную адаптацию и интеграцию детей-инвалидов можно через сервис «О распоряжении средствами МСК».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портале Госуслуг заявления можно подать в разделе «Распоряжение средствами материнского (семейного) капитала».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356225" cy="4117975"/>
            <wp:effectExtent l="0" t="0" r="0" b="0"/>
            <wp:wrapSquare wrapText="largest"/>
            <wp:docPr id="1" name="Изображение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225" cy="4117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2021-02-12T15:47:29Z</dcterms:created>
  <dc:language>ru-RU</dc:language>
  <dcterms:modified xsi:type="dcterms:W3CDTF">2021-02-12T15:52:28Z</dcterms:modified>
  <cp:revision>1</cp:revision>
</cp:coreProperties>
</file>