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Материнским капиталом можно оплатить строительство жилья на садовом участке.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прошлом году вступили в силу изменения в законодательстве, благодаря которым расширены возможности использования материнского семейного капитала на улучшение жилищных условий.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Теперь за счет этих средств семья может построить жильё не только на участке, предназначенном для индивидуального жилищного строительства, но и дом на садовом участке. Кроме того, средства материнского капитала можно направить на реконструкцию жилого дома на садовом участке либо компенсировать затраты на его строительство (реконструкцию).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Но, потратить средства маткапитала на вышеназванные направления можно лишь при условии, что помещение имеет статус жилого дома, предназначенного для постоянного проживания, а также у владельца сертификата (её супруга ) есть право собственности (пользования, владения, аренды) на землю и разрешение на строительство жилья (уведомление о планируемом строительстве).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Построить или реконструировать жилой дом на садовом участке с использованием материнского капитала можно своими силами. Кроме того, жилой дом можно построить с привлечением строительной организации, заключив договор подряда.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30115" cy="277114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115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2021-02-17T17:14:22Z</dcterms:created>
  <dc:language>ru-RU</dc:language>
  <dcterms:modified xsi:type="dcterms:W3CDTF">2021-02-17T17:16:28Z</dcterms:modified>
  <cp:revision>1</cp:revision>
</cp:coreProperties>
</file>