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both"/>
        <w:rPr/>
      </w:pPr>
      <w:r>
        <w:rPr/>
        <w:t>Переходный период по повышению пенсионного возраста</w:t>
      </w:r>
    </w:p>
    <w:p>
      <w:pPr>
        <w:pStyle w:val="Style12"/>
        <w:jc w:val="both"/>
        <w:rPr/>
      </w:pPr>
      <w:r>
        <w:rPr/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>
      <w:pPr>
        <w:pStyle w:val="Style12"/>
        <w:jc w:val="both"/>
        <w:rPr/>
      </w:pPr>
      <w:r>
        <w:rPr/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>
      <w:pPr>
        <w:pStyle w:val="Style12"/>
        <w:jc w:val="both"/>
        <w:rPr/>
      </w:pPr>
      <w:r>
        <w:rPr/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jc w:val="both"/>
        <w:rPr/>
      </w:pPr>
      <w:r>
        <w:rPr/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487420" cy="213296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78225" cy="2221230"/>
            <wp:effectExtent l="0" t="0" r="0" b="0"/>
            <wp:wrapSquare wrapText="largest"/>
            <wp:docPr id="2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2021-01-28T16:51:35Z</dcterms:modified>
  <cp:revision>1</cp:revision>
</cp:coreProperties>
</file>