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Нестраховые периоды, которые учитываются в стаж при назначении страховой пенсии.</w:t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099560" cy="3643630"/>
            <wp:effectExtent l="0" t="0" r="0" b="0"/>
            <wp:wrapSquare wrapText="largest"/>
            <wp:docPr id="1" name="Графический объект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рафический объект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9560" cy="3643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2021-01-20T16:47:00Z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