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Как изменить распоряжение средствами материнского капитала?</w:t>
      </w:r>
    </w:p>
    <w:p>
      <w:pPr>
        <w:pStyle w:val="Style12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Распорядиться средствами или частью средств материнского (семейного) капитала можно, когда ребенку, в связи с рождением которого возникло право на МСК, исполнится три года. Но есть исключения, когда направить средства возможно сразу после рождения малыша  и возникновения права на МСК.  К этим исключениям относятся: уплата первоначального взноса по жилищному кредиту или займу, погашение жилищного кредита или займа, приобретение товаров и услуг для социальной адаптации и интеграции в общество детей-инвалидов,     оплата расходов на дошкольное образование и оформление ежемесячной выплаты на второго ребенка до трех лет для семей с низким доходом.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Если семья подала заявление на распоряжение средствами материнского капитала по одному из направлений, но потом решила потратить их на другое направление, то можно аннулировать ранее поданное заявление и предоставить в ПФР новое заявление о распоряжении. Заявление об аннулировании следует подать  до перечисления средств материнского (семейного) капитала. Заявление можно подать лично или через представителя в тот же территориальный орган ПФР, куда было подано заявление о распоряжении средствами.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Отказаться от ежемесячных выплат из средств МСК на второго ребенка до трех лет для семей с низким доходом и направить остаток средств на другое направление можно в любой момент.</w:t>
      </w:r>
    </w:p>
    <w:p>
      <w:pPr>
        <w:pStyle w:val="Style12"/>
        <w:jc w:val="both"/>
        <w:rPr>
          <w:sz w:val="28"/>
          <w:szCs w:val="28"/>
          <w:lang w:val="ru-RU"/>
        </w:rPr>
      </w:pPr>
      <w:r>
        <w:rPr/>
      </w:r>
    </w:p>
    <w:p>
      <w:pPr>
        <w:pStyle w:val="Style1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655820" cy="314261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820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spacing w:before="0" w:after="12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2021-01-20T10:48:52Z</dcterms:modified>
  <cp:revision>5</cp:revision>
</cp:coreProperties>
</file>