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Пенсионный фонд беззаявительно назначает ежемесячную денежную выплату (ЕДВ) инвалидам и детям-инвалидам. </w:t>
      </w:r>
    </w:p>
    <w:p>
      <w:pPr>
        <w:pStyle w:val="Style12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ЕДВ устанавливается со дня признания человека инвалидом или ребёнком-инвалидом и назначается в течение 10 дней с момента поступления в Федеральный реестр инвалидов (ФРИ) сведений об инвалидности. 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-116840</wp:posOffset>
            </wp:positionH>
            <wp:positionV relativeFrom="paragraph">
              <wp:posOffset>328295</wp:posOffset>
            </wp:positionV>
            <wp:extent cx="3321685" cy="3321685"/>
            <wp:effectExtent l="0" t="0" r="0" b="0"/>
            <wp:wrapSquare wrapText="largest"/>
            <wp:docPr id="1" name="Изображение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685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3204210</wp:posOffset>
            </wp:positionH>
            <wp:positionV relativeFrom="paragraph">
              <wp:posOffset>140970</wp:posOffset>
            </wp:positionV>
            <wp:extent cx="3242310" cy="3241675"/>
            <wp:effectExtent l="0" t="0" r="0" b="0"/>
            <wp:wrapSquare wrapText="largest"/>
            <wp:docPr id="2" name="Изображение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2020-12-01T09:38:25Z</dcterms:modified>
  <cp:revision>1</cp:revision>
</cp:coreProperties>
</file>