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9EA" w:rsidRPr="00B82874" w:rsidRDefault="006A69EA" w:rsidP="006A69EA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B82874">
        <w:rPr>
          <w:rFonts w:ascii="Times New Roman" w:hAnsi="Times New Roman" w:cs="Times New Roman"/>
          <w:b/>
          <w:sz w:val="24"/>
          <w:szCs w:val="24"/>
        </w:rPr>
        <w:t>Прокуратура разъясняет 06.11.2020</w:t>
      </w:r>
    </w:p>
    <w:p w:rsidR="006A69EA" w:rsidRPr="00B82874" w:rsidRDefault="006A69EA" w:rsidP="006A69E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287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Ужесточена ответственность за нарушение требований антитеррористической защищенности объектов топливно-энергетического комплекса</w:t>
      </w:r>
    </w:p>
    <w:p w:rsidR="006A69EA" w:rsidRPr="00B82874" w:rsidRDefault="006A69EA" w:rsidP="006A69E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87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Соответствующие изменения внесены в Кодекс Российской Федерации об административных правонарушениях (Федеральный закон от 15.10.2020 № 339-ФЗ) и коснулись они статьи 20.30, устанавливающей административную ответственность за нарушение требований обеспечения безопасности и антитеррористической защищенности объектов топливно-энергетического комплекс.</w:t>
      </w:r>
    </w:p>
    <w:p w:rsidR="006A69EA" w:rsidRPr="00B82874" w:rsidRDefault="006A69EA" w:rsidP="006A69E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874">
        <w:rPr>
          <w:rFonts w:ascii="Times New Roman" w:eastAsia="Times New Roman" w:hAnsi="Times New Roman" w:cs="Times New Roman"/>
          <w:sz w:val="24"/>
          <w:szCs w:val="24"/>
          <w:lang w:eastAsia="ru-RU"/>
        </w:rPr>
        <w:t>С 14 апреля 2021 г. к административной ответственности за нарушение требований безопасности и антитеррористической защищенности объектов ТЭК (объекты электроэнергетики, нефтедобывающей, нефтеперерабатывающей, нефтехимической, газовой, угольной, сланцевой и торфяной промышленности, а также объекты нефтепродуктообеспечения, теплоснабжения и газоснабжения) могут быть привлечены также и юридические лица.</w:t>
      </w:r>
    </w:p>
    <w:p w:rsidR="006A69EA" w:rsidRDefault="006A69EA" w:rsidP="006A69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B8287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штрафа для организаций и должностных лиц будет зависеть от категории опасности объекта. Если категория опасности объекта отнесена к низкой, то для должностных лиц наказание предусмотрено в виде дисквалификации на срок от 6 месяцев до 1 года, а для юридических лиц – до 100 тысяч рублей. При отнесении объекта ТЭК к средней либо высокой категории опасности то для должностных лиц предусмотрена ответственность в виде дисквалификации на срок от 1 года до 3 лет, а для юридических лиц – до 300 тысяч рублей.</w:t>
      </w:r>
    </w:p>
    <w:bookmarkEnd w:id="0"/>
    <w:p w:rsidR="007F690A" w:rsidRPr="0073203F" w:rsidRDefault="007F690A" w:rsidP="0073203F"/>
    <w:sectPr w:rsidR="007F690A" w:rsidRPr="007320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55B"/>
    <w:rsid w:val="00075713"/>
    <w:rsid w:val="00355805"/>
    <w:rsid w:val="003A3FFB"/>
    <w:rsid w:val="004B5E6B"/>
    <w:rsid w:val="0054180D"/>
    <w:rsid w:val="006A69EA"/>
    <w:rsid w:val="0073203F"/>
    <w:rsid w:val="007F690A"/>
    <w:rsid w:val="00852A46"/>
    <w:rsid w:val="008C5E46"/>
    <w:rsid w:val="009051B2"/>
    <w:rsid w:val="0099455B"/>
    <w:rsid w:val="00C4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9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71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9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71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2020-12-21T07:21:00Z</dcterms:created>
  <dcterms:modified xsi:type="dcterms:W3CDTF">2020-12-21T07:21:00Z</dcterms:modified>
</cp:coreProperties>
</file>