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Справка предпенсионера: зачем и кому она нужна?</w:t>
      </w:r>
    </w:p>
    <w:p>
      <w:pPr>
        <w:pStyle w:val="Normal"/>
        <w:spacing w:lineRule="auto" w:line="480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Справка может очень выручить при устройстве на работу или в случае конфликтной ситуации на службе. Но каждый раз подтверждать свое право на льготы путем предоставления справки в различные инстанции не нужно. Так, чтобы воспользоваться льготами по налогам, достаточно подать заявление в налоговый орган, специалисты которого самостоятельно сделают запрос в ПФР для подтверждения предпенсионного статуса заявителя. Аналогичное взаимодействие у ПФР налажено с центрами занятости, которые с 2019 года предоставляют предпенсионерам повышенное пособие по безработице и занимаются программами переобучения и повышения квалификации предпенсионеров.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11445" cy="347599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445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2020-11-20T10:54:22Z</dcterms:modified>
  <cp:revision>1</cp:revision>
</cp:coreProperties>
</file>