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Fonts w:ascii="Liberation Sans" w:hAnsi="Liberation Sans"/>
        </w:rPr>
        <w:t>Вопрос: В каком отчетном периоде работодателю необходимо отразить кадровое событие, если оно наступило в одном отчетном периоде, а приказ о кадровом изменении вышел в другом отчетном периоде?</w:t>
      </w:r>
    </w:p>
    <w:p>
      <w:pPr>
        <w:pStyle w:val="Normal"/>
        <w:jc w:val="both"/>
        <w:rPr>
          <w:rFonts w:ascii="Liberation Sans" w:hAnsi="Liberation Sans"/>
        </w:rPr>
      </w:pPr>
      <w:r>
        <w:rPr/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Ответ: Если событие кадрового мероприятия наступило в одном отчетном периоде, а приказ о кадровом изменении вышел в другом отчетном периоде, то работодателю при представлении в органы ПФР формы СЗВ-ТД, необходимо данное кадровое мероприятие отразить в отчетном периоде, когда наступило событие.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962650" cy="4464685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464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2020-11-25T12:23:27Z</dcterms:modified>
  <cp:revision>2</cp:revision>
</cp:coreProperties>
</file>