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ПФР автоматически продлевает ежемесячные выплаты из средств материнского капитала. Семьям не нужно обращаться в ПФР.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52705</wp:posOffset>
            </wp:positionH>
            <wp:positionV relativeFrom="paragraph">
              <wp:posOffset>76835</wp:posOffset>
            </wp:positionV>
            <wp:extent cx="3429635" cy="342963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1605280</wp:posOffset>
            </wp:positionH>
            <wp:positionV relativeFrom="paragraph">
              <wp:posOffset>1565275</wp:posOffset>
            </wp:positionV>
            <wp:extent cx="3935730" cy="393319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2020-11-25T12:22:05Z</dcterms:modified>
  <cp:revision>2</cp:revision>
</cp:coreProperties>
</file>