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b/>
          <w:bCs/>
          <w:sz w:val="24"/>
          <w:szCs w:val="24"/>
        </w:rPr>
        <w:t xml:space="preserve">Материнский капитал за первого ребенка. </w:t>
      </w:r>
    </w:p>
    <w:p>
      <w:pPr>
        <w:pStyle w:val="Normal"/>
        <w:spacing w:lineRule="auto" w:line="480"/>
        <w:jc w:val="both"/>
        <w:rPr>
          <w:b/>
          <w:b/>
          <w:bCs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48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Одним из главных нововведений, согласно принятому закону, является распространение программы материнского капитала на первого ребенка. Все семьи, в которых первенец рожден или усыновлен начиная с 1 января 2020 года, получили право на материнский капитал в размере 466 617 рублей. 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766445</wp:posOffset>
            </wp:positionH>
            <wp:positionV relativeFrom="paragraph">
              <wp:posOffset>60960</wp:posOffset>
            </wp:positionV>
            <wp:extent cx="4474845" cy="431800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845" cy="431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2020-10-28T16:08:28Z</dcterms:created>
  <dc:language>ru-RU</dc:language>
  <dcterms:modified xsi:type="dcterms:W3CDTF">2020-10-28T16:10:55Z</dcterms:modified>
  <cp:revision>1</cp:revision>
</cp:coreProperties>
</file>