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/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  <w:t>Как получить ежемесячную денежную выплату (ЕДВ).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Ежемесячная денежная выплата предоставляется отдельным категориям граждан из числа ветеранов, инвалидов, включая детей-инвалидов, бывших несовершеннолетних узников фашизма, лиц, пострадавших в результате воздействия радиации.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гражданин имеет право на получение ЕДВ по нескольким основаниям в рамках одного закона, ЕДВ устанавливается по одному основанию, которое предусматривает более высокий размер выплаты.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Если гражданин одновременно имеет право на ЕДВ по нескольким федеральным законам, ему предоставляется одна ЕДВ по одному из оснований по выбору гражданина.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С 1 февраля 2020 года ЕДВ проиндексирована на 3%. Размер индексации определен исходя из уровня инфляции за 2019 год.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На 3% также проиндексирован входящий в состав ЕДВ набор социальных услуг (НСУ). По закону он может предоставляться в натуральной или денежной форме. Стоимость полного денежного эквивалента НСУ с 1 февраля выросло до 1155,06 рубля в месяц. Он включает в себя предоставление лекарственных препаратов, медицинских изделий, продуктов лечебного питания — 889,66 рубля, предоставление путевки на санаторно-курортное лечение для профилактики основных заболеваний — 137,63 рубля, бесплатный проезд на пригородном железнодорожном транспорте или на междугородном транспорте к месту лечения и обратно — 127,77 рубля.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Граждане, имеющие право на получение ежемесячной денежной выплаты, обязаны безотлагательно сообщать в территориальный орган Пенсионного фонда России об обстоятельствах, влияющих на изменение размера ЕДВ, а также влекущих прекращение ежемесячной денежной выплаты. </w:t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98415" cy="2163445"/>
            <wp:effectExtent l="0" t="0" r="0" b="0"/>
            <wp:wrapSquare wrapText="largest"/>
            <wp:docPr id="1" name="Изображение2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4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8415" cy="2163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2020-10-14T11:33:50Z</dcterms:created>
  <dc:language>ru-RU</dc:language>
  <dcterms:modified xsi:type="dcterms:W3CDTF">2020-10-20T14:37:19Z</dcterms:modified>
  <cp:revision>3</cp:revision>
</cp:coreProperties>
</file>