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Коррупция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Коррупция подрывает авторитет государственных органов, дискредитирует их деятельность, нарушает принципы построения правового государства и демократического развития общества. Противодействие коррупции является общегосударственной задачей, именно поэтому борьба с этим негативным явлением была и остается одним из важнейших направлений деятельности Пенсионного фонда Российской Федерации.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Сегодня в государственных учреждениях вопросу соблюдения законодательства о противодействии коррупции уделяется особое внимание. Сотрудники ПФР ежегодно декларируют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супругов и несовершеннолетних детей.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Мероприятия по правовому просвещению сотрудников ПФР, по разъяснению положений законодательства Российской Федерации по противодействию коррупции направлены на предупреждение и недопущение коррупционных проявлений.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Кроме того, проверяется обоснованность назначения пенсии и иных социальных выплат сотрудникам системы ПФР и их родственникам.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Все мероприятия по предотвращению коррупции в ПФР носят системный характер и проводятся регулярно.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2020-10-14T11:33:50Z</dcterms:created>
  <dc:language>ru-RU</dc:language>
  <dcterms:modified xsi:type="dcterms:W3CDTF">2020-10-14T11:46:57Z</dcterms:modified>
  <cp:revision>1</cp:revision>
</cp:coreProperties>
</file>