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Сокращение сроков оформления материнского капитала и распоряжения его средствами.</w:t>
      </w:r>
    </w:p>
    <w:p>
      <w:pPr>
        <w:pStyle w:val="Normal"/>
        <w:spacing w:lineRule="auto" w:line="480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Начиная с 2021 года оформить материнский капитал и распорядиться его средствами можно будет быстрее. На выдачу сертификата МСК новый порядок отводит не больше пяти рабочих дней, на рассмотрение заявки о распоряжении средствами – не больше десяти рабочих дней. В отдельных случаях эти сроки могут продлеваться соответственно до пятнадцати и двадцати дней, если возникнет необходимость запросить информацию в других ведомствах.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До конца 2020 года сохраняются действующие нормативные сроки по материнскому капиталу. Для оформления сертификата это пятнадцать рабочих дней, для рассмотрения заявления семьи о распоряжении средствами – один месяц.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2020-10-14T11:41:51Z</dcterms:modified>
  <cp:revision>1</cp:revision>
</cp:coreProperties>
</file>