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Средства материнского капитала можно направить на образование детей. </w:t>
        <w:br/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-477520</wp:posOffset>
            </wp:positionH>
            <wp:positionV relativeFrom="paragraph">
              <wp:posOffset>31750</wp:posOffset>
            </wp:positionV>
            <wp:extent cx="3366135" cy="336613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135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2893060</wp:posOffset>
            </wp:positionH>
            <wp:positionV relativeFrom="paragraph">
              <wp:posOffset>1217930</wp:posOffset>
            </wp:positionV>
            <wp:extent cx="3946525" cy="3946525"/>
            <wp:effectExtent l="0" t="0" r="0" b="0"/>
            <wp:wrapSquare wrapText="largest"/>
            <wp:docPr id="2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525" cy="3946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2020-09-29T11:44:02Z</dcterms:created>
  <dc:language>ru-RU</dc:language>
  <dcterms:modified xsi:type="dcterms:W3CDTF">2020-09-29T12:03:26Z</dcterms:modified>
  <cp:revision>1</cp:revision>
</cp:coreProperties>
</file>