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Увеличение суммы материнского капитала за второго ребенка.</w:t>
      </w:r>
    </w:p>
    <w:p>
      <w:pPr>
        <w:pStyle w:val="Style12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48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Напоминаем, что для семей, в которых с 2020 года появился второй ребенок, материнский капитал дополнительно увеличивается на 150 тыс. рублей и таким образом составляет 616 617 рублей. Такая же сумма полагается за третьего, четвертого и любого следующего ребенка, рожденного или усыновленного с 2020 года, если раньше у семьи не было права на материнский капитал (например, если первые два ребенка появились до введения материнского капитала).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2020-08-27T09:53:59Z</dcterms:modified>
  <cp:revision>1</cp:revision>
</cp:coreProperties>
</file>