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2"/>
          <w:szCs w:val="22"/>
        </w:rPr>
      </w:pPr>
      <w:r>
        <w:rPr>
          <w:sz w:val="22"/>
          <w:szCs w:val="22"/>
        </w:rPr>
        <w:t>Как подтвердить статус предпенсионера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Пенсионный фонд России запустил сервис информирования, через который предоставляются сведения о россиянах, достигших предпенсионного возраста. Эти данные используют органы власти, ведомства и работодатели для предоставления соответствующих льгот гражданам. Например, центры занятости, которые с 2019 года предоставляют предпенсионерам повышенное пособие по безработице и занимаются программами профессионального переобучения и повышения квалификации предпенсионеров.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Данные ПФР передаются в электронной форме по каналам СМЭВ, через Единую государственную информационную систему социального обеспечения (ЕГИССО) и электронное взаимодействие с работодателями. Справка, подтверждающая статус человека в качестве предпенсионера также предоставляется через личный кабинет на сайте Пенсионного фонда и в территориальных органах ПФР.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722245" cy="181292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245" cy="181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2020-08-26T12:44:40Z</dcterms:modified>
  <cp:revision>1</cp:revision>
</cp:coreProperties>
</file>