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Как направить средства материнского капитала на улучшение жилищных условий, читайте на сайте ПФР: </w:t>
      </w:r>
      <w:hyperlink r:id="rId2" w:tgtFrame="_blank">
        <w:r>
          <w:rPr>
            <w:rStyle w:val="Style11"/>
            <w:sz w:val="22"/>
            <w:szCs w:val="22"/>
          </w:rPr>
          <w:t>http://www.pfrf.ru/knopki/zhizn/~4359</w:t>
        </w:r>
      </w:hyperlink>
      <w:r>
        <w:rPr>
          <w:sz w:val="22"/>
          <w:szCs w:val="22"/>
        </w:rPr>
        <w:t xml:space="preserve">. 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233045</wp:posOffset>
            </wp:positionH>
            <wp:positionV relativeFrom="paragraph">
              <wp:posOffset>180975</wp:posOffset>
            </wp:positionV>
            <wp:extent cx="4222750" cy="422275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140335</wp:posOffset>
            </wp:positionH>
            <wp:positionV relativeFrom="paragraph">
              <wp:posOffset>2043430</wp:posOffset>
            </wp:positionV>
            <wp:extent cx="4307840" cy="430784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840" cy="430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59&amp;post=-86141808_4936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2020-08-26T12:29:44Z</dcterms:modified>
  <cp:revision>1</cp:revision>
</cp:coreProperties>
</file>