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Liberation Sans" w:hAnsi="Liberation Sans"/>
          <w:b/>
          <w:b/>
          <w:bCs/>
          <w:sz w:val="24"/>
          <w:szCs w:val="24"/>
        </w:rPr>
      </w:pPr>
      <w:r>
        <w:rPr>
          <w:rFonts w:ascii="Liberation Sans" w:hAnsi="Liberation Sans"/>
          <w:b/>
          <w:bCs/>
          <w:sz w:val="24"/>
          <w:szCs w:val="24"/>
        </w:rPr>
        <w:t>При заполнении заявления обратите внимание на выбор направления распоряжения средствами материнского (семейного) капитала.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Самым распространенным направлением является улучшение жилищных условий.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Распорядиться материнским капиталом на улучшение жилищных условий можно, когда ребенку, в связи с рождением (усыновлением) которого возникло право на дополнительные меры государственной поддержки, исполнится три года. Исключение – уплата первоначального взноса по жилищному кредиту или займу, а также направление средств материнского капитала на погашение жилищных кредитов и займов. В этом случае воспользоваться материнским капиталом можно сразу после рождения (усыновления) ребенка, в связи с рождением (усыновлением) которого возникло право на дополнительные меры государственной поддержки.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На какие именно улучшения жилищных условий можно направить средства материнского капитала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• </w:t>
      </w:r>
      <w:r>
        <w:rPr>
          <w:rFonts w:ascii="Liberation Sans" w:hAnsi="Liberation Sans"/>
          <w:sz w:val="24"/>
          <w:szCs w:val="24"/>
        </w:rPr>
        <w:t>приобретение жилого помещения;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• </w:t>
      </w:r>
      <w:r>
        <w:rPr>
          <w:rFonts w:ascii="Liberation Sans" w:hAnsi="Liberation Sans"/>
          <w:sz w:val="24"/>
          <w:szCs w:val="24"/>
        </w:rPr>
        <w:t>строительство или реконструкция объекта индивидуального жилищного строительства (ИЖС) с привлечением строительной организации;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• </w:t>
      </w:r>
      <w:r>
        <w:rPr>
          <w:rFonts w:ascii="Liberation Sans" w:hAnsi="Liberation Sans"/>
          <w:sz w:val="24"/>
          <w:szCs w:val="24"/>
        </w:rPr>
        <w:t>строительство или реконструкция объекта индивидуального жилищного строительства без привлечения строительной организации;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• </w:t>
      </w:r>
      <w:r>
        <w:rPr>
          <w:rFonts w:ascii="Liberation Sans" w:hAnsi="Liberation Sans"/>
          <w:sz w:val="24"/>
          <w:szCs w:val="24"/>
        </w:rPr>
        <w:t>компенсация затрат за построенный или реконструированный объект индивидуального жилищного строительства;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• </w:t>
      </w:r>
      <w:r>
        <w:rPr>
          <w:rFonts w:ascii="Liberation Sans" w:hAnsi="Liberation Sans"/>
          <w:sz w:val="24"/>
          <w:szCs w:val="24"/>
        </w:rPr>
        <w:t>уплата первоначального взноса при получении кредита (займа), в том числе ипотечного, на приобретение или строительство жилья;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• </w:t>
      </w:r>
      <w:r>
        <w:rPr>
          <w:rFonts w:ascii="Liberation Sans" w:hAnsi="Liberation Sans"/>
          <w:sz w:val="24"/>
          <w:szCs w:val="24"/>
        </w:rPr>
        <w:t>погашение основного долга и уплата процентов по кредитам или займам на приобретение или строительство жилья, в том числе ипотечным;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• </w:t>
      </w:r>
      <w:r>
        <w:rPr>
          <w:rFonts w:ascii="Liberation Sans" w:hAnsi="Liberation Sans"/>
          <w:sz w:val="24"/>
          <w:szCs w:val="24"/>
        </w:rPr>
        <w:t>уплата цены по договору участия в долевом строительстве;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• </w:t>
      </w:r>
      <w:r>
        <w:rPr>
          <w:rFonts w:ascii="Liberation Sans" w:hAnsi="Liberation Sans"/>
          <w:sz w:val="24"/>
          <w:szCs w:val="24"/>
        </w:rPr>
        <w:t>платеж в счет уплаты вступительного взноса и (или) паевого взноса, если владелец сертификата либо его супруг (супруга) является участником жилищного, жилищно-строительного, жилищного накопительного кооператива.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Важно отметить, что вид распоряжения средствами материнского капитала должен быть указан верно!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Приобретаемое жилое помещение должно находиться на территории России. Ремонт жилого помещения, применительно к распоряжению материнским капиталом, улучшением жилищных условий не является.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657725" cy="3104515"/>
            <wp:effectExtent l="0" t="0" r="0" b="0"/>
            <wp:wrapSquare wrapText="largest"/>
            <wp:docPr id="1" name="Изображение3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3104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2020-08-20T14:23:55Z</dcterms:modified>
  <cp:revision>1</cp:revision>
</cp:coreProperties>
</file>