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/>
      </w:pPr>
      <w:r>
        <w:rPr/>
        <w:t>Как получить сертификат на материнский капитал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  <w:t xml:space="preserve">Получить сертификат на материнский капитал имеют право семьи, в которых родился или которые усыновили после 1 января 2007 года второго, третьего или последующего ребенка, а также семьи, в которых после 1 января 2020 года родился (был усыновлен) первый ребенок. 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368935</wp:posOffset>
            </wp:positionH>
            <wp:positionV relativeFrom="paragraph">
              <wp:posOffset>429895</wp:posOffset>
            </wp:positionV>
            <wp:extent cx="5350510" cy="5208905"/>
            <wp:effectExtent l="0" t="0" r="0" b="0"/>
            <wp:wrapSquare wrapText="largest"/>
            <wp:docPr id="1" name="Изображение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510" cy="5208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2020-08-17T16:29:52Z</dcterms:modified>
  <cp:revision>1</cp:revision>
</cp:coreProperties>
</file>