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40" w:before="0" w:after="0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Льготы и гарантии людям предпенсионного возраста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Для граждан предпенсионного возраста сохраняются льготы и меры социальной поддержки, ранее предоставляемые по достижении пенсионного возраста: бесплатные лекарства и льготный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 2019 года для предпенсионеров ввели новые льготы, связанные с ежегодной диспансеризацией, и дополнительные гарантии трудовой занятости. В отношении работодателей предусматривается административная и уголовная ответственность за увольнение работников предпенсионного возраста или отказ в приеме их на работу по причине возраста. За работодателем также закрепляется обязанность ежегодно предоставлять работникам предпенсионного возраста два дня на бесплатную диспансеризацию с сохранением заработной платы.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Право на большинство предпенсионных льгот возникает за 5 лет до нового пенсионного возраста с учетом переходного периода. 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Пятилетний срок также актуален, когда при назначении пенсии учитываются одновременно достижение определенного возраста и выработка специального стажа. Это прежде всего относится к работникам опасных и тяжелых профессий по спискам №1, №2 и др., позволяющим досрочно выходить на пенсию. Наступление предпенсионного возраста и права на льготы в таких случаях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Например, водители общественного городского транспорта при наличии необходимого спецстажа (15 или 20 лет в зависимости от пола) выходят на пенсию в 50 лет (женщины) или 55 лет (мужчины). Это значит, что границы наступления предпенсионного возраста будут установлены для женщин-водителей начиная с 45 лет, а для мужчин-водителей начиная с 50 лет.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Предпенсионный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 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Для тех, у кого пенсионный возраст с 2019 года не поменялся, тоже есть право на предпенсионные льготы за 5 лет до выхода на пенсию. Например, у многодетных мам с пятью детьми оно возникает начиная с 45 лет, то есть за 5 лет до обычного для себя возраста выхода на пенсию (50 лет). При определении статуса предпенсионера в подобных случаях учитываются два фактора. Во-первых, основание, дающее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отсчитывается пятилетний период предоставления льгот.</w:t>
      </w:r>
    </w:p>
    <w:p>
      <w:pPr>
        <w:pStyle w:val="Style12"/>
        <w:spacing w:lineRule="auto" w:line="240" w:before="0" w:after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предпенсионным возрастом для получения налоговых льгот соответственно является 50 лет для женщин и 55 лет для мужчин.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2020-08-28T10:55:52Z</dcterms:modified>
  <cp:revision>1</cp:revision>
</cp:coreProperties>
</file>