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Пенсионеры, которые на безвозмездной основе являются председателями и членами общественных организаций и за которых не уплачиваются страховые взносы, считаются НЕРАБОТАЮЩИМИ и имеют право на ежегодную индексацию пенсий.</w:t>
        <w:br/>
        <w:br/>
        <w:t>Напомним, с 2016 года право на ежегодную индексацию пенсий имеют только неработающие пенсионеры. Статус гражданина (работающий/неработающий) Пенсионный фонд определяет по сведениям формы СЗВ-М, которую работодатели ежемесячно сдают на всех своих сотрудников.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408940</wp:posOffset>
            </wp:positionH>
            <wp:positionV relativeFrom="paragraph">
              <wp:posOffset>121920</wp:posOffset>
            </wp:positionV>
            <wp:extent cx="5150485" cy="3367405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485" cy="3367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28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2019-11-15T16:10:38Z</dcterms:modified>
  <cp:revision>28</cp:revision>
</cp:coreProperties>
</file>