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>Спрашивали?! Отвечаем!</w:t>
        <w:br/>
        <w:br/>
        <w:tab/>
        <w:t xml:space="preserve">Кто получает компенсационую выплату по уходу за инвалидом и из каких средств? И если уход прекратится, то кто возвратит деньги (инвалид или ухаживающий) в случае, если деньги поступали, а ухода не было, а сообщить не успели вовремя? </w:t>
        <w:br/>
        <w:br/>
        <w:t xml:space="preserve"> </w:t>
        <w:tab/>
        <w:t xml:space="preserve">Сообщаем Вам, что компенсационная выплата устанавливается неработающим трудоспособным лицам осуществляющим уход за инвалидом I группы (за исключением инвалидов с детства I группы), а также за престарелым, нуждающимся по заключению лечебного учреждения в постоянном постороннем уходе либо достигшем возраста 80 лет. Выплата компенсации производится из средств федерального бюджета. В случае прекращения осуществления ухода лицо, осуществляющее уход, обязано в течении 5 дней известить орган, осуществляющий выплату пенсии, о наступлении обстоятельств, влекущих прекращение осуществления компенсационной выплаты. Взыскание необоснованно полученной компенсационной выплаты производится с того лица, которое фактически получало и пользовалось указанной выплатой. Таким образом, вопрос о целесообразности привлечения того или иного лица в качестве ответчика по делу о взыскании неосновательно полученных денежных сумм, рассматривается исходя из обстоятельств конкретного дела. </w:t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2465070</wp:posOffset>
            </wp:positionH>
            <wp:positionV relativeFrom="paragraph">
              <wp:posOffset>56515</wp:posOffset>
            </wp:positionV>
            <wp:extent cx="1380490" cy="706755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706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</w:r>
    </w:p>
    <w:p>
      <w:pPr>
        <w:pStyle w:val="Normal"/>
        <w:widowControl/>
        <w:spacing w:lineRule="auto" w:line="276" w:before="0" w:after="140"/>
        <w:ind w:left="0" w:right="0" w:hanging="0"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24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2019-11-15T15:47:27Z</dcterms:modified>
  <cp:revision>22</cp:revision>
</cp:coreProperties>
</file>