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«Кодовое слово как возможность получить углубленную консультацию.»</w:t>
        <w:br/>
        <w:br/>
        <w:t>Граждане могут получить консультацию по всем вопросам, находящимся в компетенции Пенсионного фонда. Если решение вопроса требует использования персональных данных человека, то в таком случае гражданин может обратиться в ПФР лично, задать свой вопрос в онлайн-приемной на сайте ПФР или воспользоваться кодовым словом во время своего звонка на «горячую линию» или контакт-центр.</w:t>
        <w:br/>
        <w:t>Если кодового слова у вас еще нет, то необходимо обратиться в клиентскую службу ПФР с соответствующим заявлением.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2242185</wp:posOffset>
            </wp:positionH>
            <wp:positionV relativeFrom="paragraph">
              <wp:posOffset>63500</wp:posOffset>
            </wp:positionV>
            <wp:extent cx="1584960" cy="890905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890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2019-10-11T12:07:19Z</dcterms:modified>
  <cp:revision>11</cp:revision>
</cp:coreProperties>
</file>