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У кого не меняется возраст выхода на пенсию </w:t>
        <w:br/>
        <w:br/>
      </w:r>
      <w:hyperlink r:id="rId2">
        <w:r>
          <w:rPr>
            <w:rStyle w:val="Style11"/>
            <w:rFonts w:eastAsia="Times New Roman" w:cs="Times New Roman" w:ascii="Times New Roman" w:hAnsi="Times New Roman"/>
            <w:color w:val="00000A"/>
            <w:lang w:eastAsia="ru-RU" w:bidi="ar-SA"/>
          </w:rPr>
          <w:t>http://www.pfrf.ru/zakon/#info-5</w:t>
        </w:r>
      </w:hyperlink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130175</wp:posOffset>
            </wp:positionH>
            <wp:positionV relativeFrom="paragraph">
              <wp:posOffset>120650</wp:posOffset>
            </wp:positionV>
            <wp:extent cx="6012815" cy="4164965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815" cy="4164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zakon%2F%23info-5&amp;post=-89909768_4635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2019-10-10T17:01:51Z</dcterms:modified>
  <cp:revision>8</cp:revision>
</cp:coreProperties>
</file>