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jc w:val="both"/>
        <w:rPr/>
      </w:pPr>
      <w:r>
        <w:rPr/>
        <w:t>При каких условиях пенсия по случаю кормильца выплачивается студентам старше 23 лет?</w:t>
        <w:br/>
        <w:br/>
        <w:t>В соответствии со статьей 10 Федерального закона от 28.12.2013 г. № 400-ФЗ "О страховых пенсиях" страховая пенсия по случаю потери кормильца выплачивается нетрудоспособным членам умершего кормильца, обучающимся по очной форме обучения, до достижения ими возраста 23 лет или старше этого возраста, если они стали инвалидами до достижения возраста 18 лет. Исключение составляют нетрудоспособные члены семьи умершего инвалида вследствие катастрофы на Чернобыльской АЭС или ликвидатора последствий на Чернобыльской АЭС, пенсия по случаю потери кормильца которым назначается до достижения ими возраста 25 лет.</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15</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2019-08-01T09:56:50Z</dcterms:created>
  <dc:language>ru-RU</dc:language>
  <cp:lastPrinted>2019-10-01T16:04:12Z</cp:lastPrinted>
  <dcterms:modified xsi:type="dcterms:W3CDTF">2019-10-10T16:26:56Z</dcterms:modified>
  <cp:revision>7</cp:revision>
</cp:coreProperties>
</file>