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t xml:space="preserve">Пользуйтесь электронными услугами в Личном кабинете на сайте ПФР: </w:t>
      </w:r>
      <w:hyperlink r:id="rId2">
        <w:r>
          <w:rPr>
            <w:rStyle w:val="Style11"/>
          </w:rPr>
          <w:t>https://es.pfrf.ru/#services-f</w:t>
        </w:r>
      </w:hyperlink>
      <w:r>
        <w:rPr/>
        <w:t>.</w:t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# </w:t>
      </w:r>
      <w:hyperlink r:id="rId7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2556510</wp:posOffset>
            </wp:positionH>
            <wp:positionV relativeFrom="paragraph">
              <wp:posOffset>19685</wp:posOffset>
            </wp:positionV>
            <wp:extent cx="1045845" cy="104584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37475973_4014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2019-10-10T14:42:17Z</dcterms:modified>
  <cp:revision>6</cp:revision>
</cp:coreProperties>
</file>