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_1795507292"/>
      <w:r>
        <w:rPr/>
        <w:t xml:space="preserve">Узнать адрес ближайшей клиентской службы ПФР можно на сайте </w:t>
      </w:r>
      <w:hyperlink r:id="rId2" w:tgtFrame="_blank">
        <w:r>
          <w:rPr>
            <w:rStyle w:val="Style11"/>
          </w:rPr>
          <w:t>PFRF.RU</w:t>
        </w:r>
      </w:hyperlink>
      <w:r>
        <w:rPr/>
        <w:t>.</w:t>
      </w:r>
      <w:bookmarkEnd w:id="0"/>
      <w:r>
        <w:rPr/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#ПФРсегодня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#услугиПФР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551180</wp:posOffset>
            </wp:positionH>
            <wp:positionV relativeFrom="paragraph">
              <wp:posOffset>238125</wp:posOffset>
            </wp:positionV>
            <wp:extent cx="2655570" cy="265557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265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F.RU&amp;post=-86141808_285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&#1089;&#1077;&#1075;&#1086;&#1076;&#1085;&#1103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2019-08-01T10:10:31Z</dcterms:created>
  <dc:language>ru-RU</dc:language>
  <cp:lastPrinted>2019-08-01T10:10:54Z</cp:lastPrinted>
  <dcterms:modified xsi:type="dcterms:W3CDTF">2019-08-01T10:22:36Z</dcterms:modified>
  <cp:revision>1</cp:revision>
</cp:coreProperties>
</file>