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"</w:t>
      </w:r>
      <w:bookmarkStart w:id="0" w:name="__DdeLink__17_825039260"/>
      <w:r>
        <w:rPr/>
        <w:t>СТРАХОВАЯ ПЕНСИЯ — ОСНОВНОЙ ВИД ПЕНСИИ В РОССИИ</w:t>
      </w:r>
      <w:bookmarkEnd w:id="0"/>
      <w:r>
        <w:rPr/>
        <w:t>."</w:t>
        <w:br/>
        <w:t xml:space="preserve">У большинства россиян сегодня формируются так называемые страховые пенсии. Обязательное пенсионное обеспечение, которое охватывает всех работающих россиян, основывается на страховых принципах.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172720</wp:posOffset>
            </wp:positionH>
            <wp:positionV relativeFrom="paragraph">
              <wp:posOffset>123825</wp:posOffset>
            </wp:positionV>
            <wp:extent cx="3050540" cy="211391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540" cy="2113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7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2019-08-01T09:48:50Z</dcterms:created>
  <dc:language>ru-RU</dc:language>
  <cp:lastPrinted>2019-08-01T09:49:30Z</cp:lastPrinted>
  <dcterms:modified xsi:type="dcterms:W3CDTF">2019-08-01T09:55:54Z</dcterms:modified>
  <cp:revision>1</cp:revision>
</cp:coreProperties>
</file>