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Спрашивали? Отвечаем!</w:t>
        <w:br/>
        <w:t xml:space="preserve">Здравствуйте </w:t>
      </w:r>
      <w:bookmarkStart w:id="0" w:name="__DdeLink__225_1679673526"/>
      <w:r>
        <w:rPr/>
        <w:t>можно ли купить жилье на материнский капитал</w:t>
      </w:r>
      <w:bookmarkEnd w:id="0"/>
      <w:r>
        <w:rPr/>
        <w:t>. Если 2 ребёнку нет трех лет???</w:t>
        <w:br/>
        <w:br/>
        <w:t xml:space="preserve">В соответствии со ст.6 ФЗ № 256-ФЗ "О дополнительных мерах государственной поддержки семей, имеющих детей" заявление о распоряжении может быть подано в любое время со дня рождения (усыновления) второго, третьего ребенка или последующих детей в случае необходимости использования средств (части средств) материнского (семейного) капитала на уплату первоначального взноса и (или) погашение основного долга и уплату процентов по кредитам или займам на приобретение (строительство) жилого помещения.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2019-08-01T09:25:40Z</dcterms:created>
  <dc:language>ru-RU</dc:language>
  <dcterms:modified xsi:type="dcterms:W3CDTF">2019-08-01T09:26:07Z</dcterms:modified>
  <cp:revision>1</cp:revision>
</cp:coreProperties>
</file>