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С 2019 года граждане предпенсионного возраста могут получать социальные льготы. Информацию можно получить очно или онлайн.</w:t>
        <w:br/>
        <w:br/>
        <w:t xml:space="preserve">Подробнее на сайте ПФР: </w:t>
      </w:r>
      <w:hyperlink r:id="rId2">
        <w:r>
          <w:rPr>
            <w:rStyle w:val="Style11"/>
          </w:rPr>
          <w:t>http://www.pfrf.ru/branches/moscow/news/~2018/12/24/1</w:t>
        </w:r>
      </w:hyperlink>
      <w:r>
        <w:rPr/>
        <w:t>..</w:t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#льготы</w:t>
        </w:r>
      </w:hyperlink>
      <w:r>
        <w:rPr/>
        <w:t xml:space="preserve"> </w:t>
      </w:r>
      <w:hyperlink r:id="rId8">
        <w:r>
          <w:rPr>
            <w:rStyle w:val="Style11"/>
          </w:rPr>
          <w:t>#предпенсионер</w:t>
        </w:r>
      </w:hyperlink>
      <w:r>
        <w:rPr/>
        <w:t xml:space="preserve">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2578100</wp:posOffset>
            </wp:positionH>
            <wp:positionV relativeFrom="paragraph">
              <wp:posOffset>135255</wp:posOffset>
            </wp:positionV>
            <wp:extent cx="1193165" cy="119316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1193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moscow%2Fnews%2F~2018%2F12%2F24%2F1&amp;post=-89909768_439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3;&#1100;&#1075;&#1086;&#1090;&#1099;" TargetMode="External"/><Relationship Id="rId8" Type="http://schemas.openxmlformats.org/officeDocument/2006/relationships/hyperlink" Target="https://vk.com/feed?section=search&amp;q=%23&#1087;&#1088;&#1077;&#1076;&#1087;&#1077;&#1085;&#1089;&#1080;&#1086;&#1085;&#1077;&#1088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2019-07-22T18:24:03Z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