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 xml:space="preserve">Как получить ежемесячные выплаты из материнского капитала, читайте на сайте ПФР: </w:t>
      </w:r>
      <w:hyperlink r:id="rId2">
        <w:r>
          <w:rPr>
            <w:rStyle w:val="Style11"/>
          </w:rPr>
          <w:t>http://www.pfrf.ru/knopki/zhizn/~4363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#ежемесячнаявыплата</w:t>
        </w:r>
      </w:hyperlink>
      <w:r>
        <w:rPr/>
        <w:t xml:space="preserve"> </w:t>
      </w:r>
      <w:hyperlink r:id="rId8">
        <w:r>
          <w:rPr>
            <w:rStyle w:val="Style11"/>
          </w:rPr>
          <w:t>#МСК</w:t>
        </w:r>
      </w:hyperlink>
      <w:r>
        <w:rPr/>
        <w:t xml:space="preserve">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2277110</wp:posOffset>
            </wp:positionH>
            <wp:positionV relativeFrom="paragraph">
              <wp:posOffset>133985</wp:posOffset>
            </wp:positionV>
            <wp:extent cx="1559560" cy="155956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177414594_96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8" Type="http://schemas.openxmlformats.org/officeDocument/2006/relationships/hyperlink" Target="https://vk.com/feed?section=search&amp;q=%23&#1052;&#1057;&#1050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2019-07-22T18:30:54Z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