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 xml:space="preserve">Электронные способы взаимодействия между людьми во всем мире набирают обороты популярности. </w:t>
      </w:r>
    </w:p>
    <w:p>
      <w:pPr>
        <w:pStyle w:val="Normal"/>
        <w:widowControl/>
        <w:jc w:val="both"/>
        <w:rPr/>
      </w:pPr>
      <w:r>
        <w:rPr/>
        <w:t xml:space="preserve">К основным сферам жизни, в которых без навыка компьютерной грамотности уже трудно обойтись относятся: получение государственных услуг (преимущественно в рамках одноименного портала – «Государственные услуги»); внесение платы (оплата коммунальных платежей, штрафов, кредитов); регистрация и организация посещения социальных учреждений (например, запись к врачу);развлечения и досуг (просмотр фильмов и видеороликов, телепередач и новостей, прослушивание музыки, просмотр фотографий); общение с друзьями и родственниками посредством социальных сетей. Обучение пенсионеров компьютерной грамотности является актуальной темой и задачей по социальной адаптации пожилых людей к современной информационной среде. Установлено, что результативность обучения во многом определяется интересами и потребностями пожилых людей, наличием у них положительной мотивации. Акцентируется внимание на необходимости учета в процессе обучения гендерных особенностей (специфики усвоения содержания учебного материала, спектра интересов и мотивов освоения интернет-пространства и др.). Предложен набор правил, следование которым позволит повысить эффективность обучения пожилых людей компьютерной грамотности. Обозначены перспективы развития неформального образования представителей старшего поколения. Цифровая трансформация общества оказывает существенное влияние на жизнедеятельность и мироощущение пожилых людей, обусловливает необходимость вовлечения представителей старшего поколения в сферу цифровой экономики. Вопреки сложившимся стереотипам (например, о немощной и бесполезной старости) наиболее активная часть представителей старшего поколения осознает необходимость освоения новых информационных технологий и проявляет готовность к обучению компьютерной грамотности. В рамках реализации концепции непрерывного образования на протяжении всей жизни объективно возрастает роль неформального образования пожилых людей, в том числе в области цифровых технологий. В связи с этим изучение специфики освоения пожилыми людьми компьютерной грамотности имеет большую практическую значимость, поскольку обогащение интеллектуального и социального багажа позволит представителям старшего поколения более успешно адаптироваться к новым условиям, укрепить межпоколенные связи, сохранить активное долголетие. Обучение пожилых людей компьютерной грамотности осуществляется во многих регионах России. Однако масштабы, условия, формы получения неформального образования разнообразны. В одних субъектах РФ эту работу организуют исполнительные органы государственной власти (чаще всего органы образования и социальной защиты населения), в других –приоритет отдается реализации межведомственных тематических социальных проектов, в -третьих –активную позицию в обучении представителей старшего поколения занимают общественные организации (университеты «третьего возраста»,благотворительные организации и др.). Так, в 2014 г. ПАО «Ростелеком» и Пенсионный фонд РФ подписали соглашение о сотрудничестве в области обучения пенсионеров компьютерной грамотности, цель которого – расширение доступа старшему поколению к получению государственных услуг в электронном виде через сеть Интернет и повы-шение качества жизни пожилых людей посред-ством обучения компьютерной грамотности и работе в сети Интернет. В ходе реализации соглашения специалистами разработано пособие для пожилых людей «Азбука Интернета», содержание которого постоянно дополняется актуальной информацией и новыми модулями. </w:t>
      </w:r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2053590</wp:posOffset>
            </wp:positionH>
            <wp:positionV relativeFrom="paragraph">
              <wp:posOffset>97790</wp:posOffset>
            </wp:positionV>
            <wp:extent cx="1765935" cy="1177290"/>
            <wp:effectExtent l="0" t="0" r="0" b="0"/>
            <wp:wrapSquare wrapText="largest"/>
            <wp:docPr id="1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935" cy="1177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>
          <w:rStyle w:val="Style11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Интернет-ссылка"/>
    <w:rsid w:val="00865d4f"/>
    <w:rPr>
      <w:color w:val="000080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2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2019-06-11T11:43:00Z</dcterms:created>
  <dc:creator>Мещерякова Зинаида Анатольевна</dc:creator>
  <dc:language>ru-RU</dc:language>
  <dcterms:modified xsi:type="dcterms:W3CDTF">2019-07-22T18:16:48Z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