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 xml:space="preserve">Напоминаем, что для граждан предпенсионного возраста сохраняются льготы и меры социальной поддержки, ранее предоставляемые по достижении пенсионного возраста: бесплатные лекарства и проезд на транспорте, скидка на оплату капремонта и других жилищно-коммунальных услуг, освобождение от имущественного и земельного налогов и прочие. 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1176655</wp:posOffset>
            </wp:positionH>
            <wp:positionV relativeFrom="paragraph">
              <wp:posOffset>67945</wp:posOffset>
            </wp:positionV>
            <wp:extent cx="1438910" cy="1439545"/>
            <wp:effectExtent l="0" t="0" r="0" b="0"/>
            <wp:wrapSquare wrapText="largest"/>
            <wp:docPr id="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10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2991485</wp:posOffset>
            </wp:positionH>
            <wp:positionV relativeFrom="paragraph">
              <wp:posOffset>39370</wp:posOffset>
            </wp:positionV>
            <wp:extent cx="1406525" cy="1405255"/>
            <wp:effectExtent l="0" t="0" r="0" b="0"/>
            <wp:wrapSquare wrapText="largest"/>
            <wp:docPr id="2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525" cy="1405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2019-07-12T08:37:30Z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