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Солидарная пенсионная система позволяет обеспечивать выплату страховой пенсии нынешним пенсионерам за счет страховых взносов, уплачиваемых работодателями.</w:t>
        <w:br/>
        <w:br/>
        <w:t xml:space="preserve">Как формируется и рассчитывается пенсия, узнайте на сайте ПФР: </w:t>
      </w:r>
      <w:hyperlink r:id="rId2">
        <w:r>
          <w:rPr>
            <w:rStyle w:val="Style11"/>
          </w:rPr>
          <w:t>http://www.pfrf.ru/grazdanam/pensionres/kak_form_bud_</w:t>
        </w:r>
      </w:hyperlink>
      <w:r>
        <w:rPr/>
        <w:t>..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#солидарнаяпенсия</w:t>
        </w:r>
      </w:hyperlink>
      <w:r>
        <w:rPr/>
        <w:t xml:space="preserve"> </w:t>
      </w:r>
      <w:hyperlink r:id="rId8">
        <w:r>
          <w:rPr>
            <w:rStyle w:val="Style11"/>
          </w:rPr>
          <w:t>#страховыевзносы</w:t>
        </w:r>
      </w:hyperlink>
    </w:p>
    <w:p>
      <w:pPr>
        <w:pStyle w:val="Normal"/>
        <w:rPr/>
      </w:pPr>
      <w:r>
        <w:rPr/>
      </w:r>
    </w:p>
    <w:p>
      <w:pPr>
        <w:pStyle w:val="Normal"/>
        <w:ind w:firstLine="709"/>
        <w:jc w:val="center"/>
        <w:rPr/>
      </w:pPr>
      <w:r>
        <w:rPr/>
        <w:drawing>
          <wp:inline distT="0" distB="0" distL="19050" distR="0">
            <wp:extent cx="2295525" cy="1676400"/>
            <wp:effectExtent l="0" t="0" r="0" b="0"/>
            <wp:docPr id="1" name="Изображение4" descr="C:\2\Wjmlds04X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C:\2\Wjmlds04X-Q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res%2Fkak_form_bud_&amp;post=-177414594_763&amp;cc_key=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9;&#1086;&#1083;&#1080;&#1076;&#1072;&#1088;&#1085;&#1072;&#1103;&#1087;&#1077;&#1085;&#1089;&#1080;&#1103;" TargetMode="External"/><Relationship Id="rId8" Type="http://schemas.openxmlformats.org/officeDocument/2006/relationships/hyperlink" Target="https://vk.com/feed?section=search&amp;q=%23&#1089;&#1090;&#1088;&#1072;&#1093;&#1086;&#1074;&#1099;&#1077;&#1074;&#1079;&#1085;&#1086;&#1089;&#1099;" TargetMode="External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2019-07-04T15:56:54Z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