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65" w:leader="none"/>
        </w:tabs>
        <w:rPr>
          <w:rStyle w:val="Style11"/>
        </w:rPr>
      </w:pPr>
      <w:r>
        <w:rPr/>
      </w:r>
    </w:p>
    <w:p>
      <w:pPr>
        <w:pStyle w:val="Normal"/>
        <w:rPr/>
      </w:pPr>
      <w:r>
        <w:rPr/>
        <w:t xml:space="preserve">Справку о статусе предпенсионера можно получить в Личном кабинете гражданина на сайте ПФР </w:t>
      </w:r>
      <w:hyperlink r:id="rId2">
        <w:r>
          <w:rPr>
            <w:rStyle w:val="Style11"/>
          </w:rPr>
          <w:t>https://es.pfrf.ru/</w:t>
        </w:r>
      </w:hyperlink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725" w:leader="none"/>
        </w:tabs>
        <w:jc w:val="center"/>
        <w:rPr/>
      </w:pPr>
      <w:r>
        <w:rPr/>
        <w:drawing>
          <wp:inline distT="0" distB="0" distL="19050" distR="0">
            <wp:extent cx="3571875" cy="2705100"/>
            <wp:effectExtent l="0" t="0" r="0" b="0"/>
            <wp:docPr id="1" name="Изображение12" descr="C:\2\XOG6mJ6QF3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C:\2\XOG6mJ6QF3w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9909768_4260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2019-07-04T15:13:42Z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