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До 1 октября 2019 года федеральным льготникам следует определиться с НСУ на следующий календарный год</w:t>
        <w:br/>
      </w:r>
      <w:hyperlink r:id="rId2">
        <w:r>
          <w:rPr>
            <w:rStyle w:val="Style11"/>
          </w:rPr>
          <w:t>http://www.pfrf.ru/branches/moscow/news/~2019/06…</w:t>
        </w:r>
      </w:hyperlink>
    </w:p>
    <w:p>
      <w:pPr>
        <w:pStyle w:val="Normal"/>
        <w:rPr/>
      </w:pPr>
      <w:r>
        <w:rPr/>
      </w:r>
    </w:p>
    <w:p>
      <w:pPr>
        <w:pStyle w:val="Normal"/>
        <w:tabs>
          <w:tab w:val="left" w:pos="1920" w:leader="none"/>
        </w:tabs>
        <w:jc w:val="center"/>
        <w:rPr/>
      </w:pPr>
      <w:r>
        <w:rPr>
          <w:rStyle w:val="Style11"/>
        </w:rPr>
        <w:drawing>
          <wp:inline distT="0" distB="0" distL="19050" distR="0">
            <wp:extent cx="2841625" cy="1360170"/>
            <wp:effectExtent l="0" t="0" r="0" b="0"/>
            <wp:docPr id="1" name="Изображение14" descr="C:\2\ezBdKZZ6Z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C:\2\ezBdKZZ6Z_s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5" cy="136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branches%2Fmoscow%2Fnews%2F~2019%2F06&amp;post=-89909768_4257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2019-07-04T15:23:48Z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