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Как получить, заменить и восстановить СНИЛС, читайте на сайте ПФР: </w:t>
      </w:r>
      <w:hyperlink r:id="rId2">
        <w:r>
          <w:rPr>
            <w:rStyle w:val="Style11"/>
          </w:rPr>
          <w:t>http://www.pfrf.ru/knopki/zhizn/~4411</w:t>
        </w:r>
      </w:hyperlink>
      <w:r>
        <w:rPr/>
        <w:t>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#СНИЛС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inline distT="0" distB="0" distL="19050" distR="0">
            <wp:extent cx="2705100" cy="2105025"/>
            <wp:effectExtent l="0" t="0" r="0" b="0"/>
            <wp:docPr id="1" name="Рисунок 3" descr="C:\2\vLmgFfC1Yr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C:\2\vLmgFfC1Yr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19050" distR="0">
            <wp:extent cx="2590800" cy="2162175"/>
            <wp:effectExtent l="0" t="0" r="0" b="0"/>
            <wp:docPr id="2" name="Рисунок 4" descr="C:\2\HxT3l7zLeQ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C:\2\HxT3l7zLeQM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411&amp;post=-89909768_4235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57;&#1053;&#1048;&#1051;&#1057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2019-07-04T14:20:06Z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