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tabs>
          <w:tab w:val="left" w:pos="13140" w:leader="none"/>
        </w:tabs>
        <w:spacing w:lineRule="exact" w:line="540"/>
        <w:ind w:firstLine="567"/>
        <w:jc w:val="center"/>
        <w:rPr>
          <w:rFonts w:eastAsia="Times New Roman"/>
          <w:b/>
          <w:b/>
          <w:bCs/>
          <w:spacing w:val="0"/>
          <w:sz w:val="50"/>
          <w:szCs w:val="50"/>
        </w:rPr>
      </w:pPr>
      <w:r>
        <w:rPr>
          <w:rFonts w:eastAsia="Times New Roman"/>
          <w:b/>
          <w:bCs/>
          <w:spacing w:val="0"/>
          <w:sz w:val="50"/>
          <w:szCs w:val="50"/>
        </w:rPr>
      </w:r>
    </w:p>
    <w:p>
      <w:pPr>
        <w:pStyle w:val="Normal"/>
        <w:shd w:val="clear" w:color="auto" w:fill="FFFFFF"/>
        <w:tabs>
          <w:tab w:val="left" w:pos="13140" w:leader="none"/>
        </w:tabs>
        <w:ind w:firstLine="567"/>
        <w:jc w:val="center"/>
        <w:rPr>
          <w:rFonts w:eastAsia="Times New Roman"/>
          <w:b/>
          <w:b/>
          <w:bCs/>
          <w:spacing w:val="0"/>
          <w:sz w:val="40"/>
          <w:szCs w:val="40"/>
        </w:rPr>
      </w:pPr>
      <w:r>
        <w:rPr>
          <w:rFonts w:eastAsia="Times New Roman"/>
          <w:b/>
          <w:bCs/>
          <w:spacing w:val="0"/>
          <w:position w:val="10"/>
          <w:sz w:val="40"/>
          <w:szCs w:val="40"/>
        </w:rPr>
        <w:t xml:space="preserve">Основные элементы действующего </w:t>
      </w:r>
    </w:p>
    <w:p>
      <w:pPr>
        <w:pStyle w:val="Normal"/>
        <w:shd w:val="clear" w:color="auto" w:fill="FFFFFF"/>
        <w:tabs>
          <w:tab w:val="left" w:pos="13140" w:leader="none"/>
        </w:tabs>
        <w:ind w:firstLine="567"/>
        <w:jc w:val="center"/>
        <w:rPr>
          <w:sz w:val="40"/>
          <w:szCs w:val="40"/>
        </w:rPr>
      </w:pPr>
      <w:r>
        <w:rPr>
          <w:rFonts w:eastAsia="Times New Roman"/>
          <w:b/>
          <w:bCs/>
          <w:spacing w:val="0"/>
          <w:sz w:val="40"/>
          <w:szCs w:val="40"/>
        </w:rPr>
        <w:t>законодательства о противодействии коррупции</w:t>
      </w:r>
    </w:p>
    <w:p>
      <w:pPr>
        <w:pStyle w:val="Normal"/>
        <w:shd w:val="clear" w:color="auto" w:fill="FFFFFF"/>
        <w:spacing w:lineRule="exact" w:line="432" w:before="418" w:after="0"/>
        <w:ind w:right="0" w:firstLine="567"/>
        <w:rPr/>
      </w:pPr>
      <w:r>
        <w:rPr>
          <w:rFonts w:eastAsia="Times New Roman"/>
          <w:sz w:val="36"/>
          <w:szCs w:val="36"/>
        </w:rPr>
        <w:t>- установление обязанностей, ограничений и запретов для определенных категорий граждан;</w:t>
      </w:r>
    </w:p>
    <w:p>
      <w:pPr>
        <w:pStyle w:val="Normal"/>
        <w:shd w:val="clear" w:color="auto" w:fill="FFFFFF"/>
        <w:spacing w:before="130" w:after="0"/>
        <w:ind w:right="0" w:firstLine="567"/>
        <w:rPr/>
      </w:pPr>
      <w:r>
        <w:rPr>
          <w:rFonts w:eastAsia="Times New Roman"/>
          <w:sz w:val="36"/>
          <w:szCs w:val="36"/>
        </w:rPr>
        <w:t>- предотвращение конфликта интересов;</w:t>
      </w:r>
    </w:p>
    <w:p>
      <w:pPr>
        <w:pStyle w:val="Normal"/>
        <w:shd w:val="clear" w:color="auto" w:fill="FFFFFF"/>
        <w:spacing w:lineRule="exact" w:line="432" w:before="115" w:after="0"/>
        <w:ind w:right="0" w:firstLine="567"/>
        <w:rPr/>
      </w:pPr>
      <w:r>
        <w:rPr>
          <w:rFonts w:eastAsia="Times New Roman"/>
          <w:sz w:val="36"/>
          <w:szCs w:val="36"/>
        </w:rPr>
        <w:t>- уведомление представителя нанимателя о фактах обращения с целью склонения служащих к совершению коррупционных правонарушений;</w:t>
      </w:r>
    </w:p>
    <w:p>
      <w:pPr>
        <w:pStyle w:val="Normal"/>
        <w:shd w:val="clear" w:color="auto" w:fill="FFFFFF"/>
        <w:spacing w:lineRule="exact" w:line="432" w:before="115" w:after="0"/>
        <w:ind w:right="0" w:firstLine="567"/>
        <w:rPr/>
      </w:pPr>
      <w:r>
        <w:rPr>
          <w:rFonts w:eastAsia="Times New Roman"/>
          <w:sz w:val="36"/>
          <w:szCs w:val="36"/>
        </w:rPr>
        <w:t>- представление определенными категориями граждан сведений о доходах (расходах), имуществе и обязательствах имущественного характера;</w:t>
      </w:r>
    </w:p>
    <w:p>
      <w:pPr>
        <w:pStyle w:val="Normal"/>
        <w:shd w:val="clear" w:color="auto" w:fill="FFFFFF"/>
        <w:spacing w:lineRule="exact" w:line="432" w:before="108" w:after="0"/>
        <w:ind w:right="0" w:firstLine="567"/>
        <w:rPr/>
      </w:pPr>
      <w:r>
        <w:rPr>
          <w:rFonts w:eastAsia="Times New Roman"/>
          <w:sz w:val="36"/>
          <w:szCs w:val="36"/>
        </w:rPr>
        <w:t>- регулирование вопросов принятия определенными категориями граждан подарков;</w:t>
      </w:r>
    </w:p>
    <w:p>
      <w:pPr>
        <w:pStyle w:val="Normal"/>
        <w:shd w:val="clear" w:color="auto" w:fill="FFFFFF"/>
        <w:spacing w:lineRule="exact" w:line="425" w:before="115" w:after="0"/>
        <w:ind w:right="0" w:firstLine="567"/>
        <w:rPr/>
      </w:pPr>
      <w:r>
        <w:rPr>
          <w:rFonts w:eastAsia="Times New Roman"/>
          <w:sz w:val="36"/>
          <w:szCs w:val="36"/>
        </w:rPr>
        <w:t>- обеспечение доступа к информации о деятельности государственных '  органов, иных организаций;</w:t>
      </w:r>
    </w:p>
    <w:p>
      <w:pPr>
        <w:pStyle w:val="Normal"/>
        <w:shd w:val="clear" w:color="auto" w:fill="FFFFFF"/>
        <w:spacing w:lineRule="exact" w:line="432" w:before="122" w:after="0"/>
        <w:ind w:right="0" w:firstLine="567"/>
        <w:rPr/>
      </w:pPr>
      <w:r>
        <w:rPr>
          <w:rFonts w:eastAsia="Times New Roman"/>
          <w:sz w:val="36"/>
          <w:szCs w:val="36"/>
        </w:rPr>
        <w:t>- проведение антикоррупционной экспертизы локальных нормативных актов;</w:t>
      </w:r>
    </w:p>
    <w:p>
      <w:pPr>
        <w:pStyle w:val="Normal"/>
        <w:shd w:val="clear" w:color="auto" w:fill="FFFFFF"/>
        <w:spacing w:before="122" w:after="0"/>
        <w:ind w:right="0" w:firstLine="567"/>
        <w:rPr/>
      </w:pPr>
      <w:r>
        <w:rPr>
          <w:rFonts w:eastAsia="Times New Roman"/>
          <w:sz w:val="36"/>
          <w:szCs w:val="36"/>
        </w:rPr>
        <w:t>- передача ЦБ (долей участия, паев в уставных капиталах организаций);</w:t>
      </w:r>
    </w:p>
    <w:p>
      <w:pPr>
        <w:pStyle w:val="Normal"/>
        <w:shd w:val="clear" w:color="auto" w:fill="FFFFFF"/>
        <w:spacing w:before="122" w:after="0"/>
        <w:ind w:right="0" w:firstLine="567"/>
        <w:rPr/>
      </w:pPr>
      <w:r>
        <w:rPr>
          <w:rFonts w:eastAsia="Times New Roman"/>
          <w:sz w:val="36"/>
          <w:szCs w:val="36"/>
        </w:rPr>
        <w:t>- соблюдение этических кодексов и др.</w:t>
      </w:r>
    </w:p>
    <w:sectPr>
      <w:type w:val="nextPage"/>
      <w:pgSz w:orient="landscape" w:w="16838" w:h="11906"/>
      <w:pgMar w:left="1440" w:right="1973" w:header="0" w:top="709" w:footer="0" w:bottom="360" w:gutter="0"/>
      <w:pgNumType w:fmt="decimal"/>
      <w:formProt w:val="false"/>
      <w:textDirection w:val="lrTb"/>
      <w:docGrid w:type="default" w:linePitch="240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95"/>
  <w:embedSystemFonts/>
  <w:defaultTabStop w:val="720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ru-RU" w:eastAsia="ru-RU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727980"/>
    <w:pPr>
      <w:widowControl w:val="false"/>
      <w:bidi w:val="0"/>
      <w:spacing w:lineRule="auto" w:line="240" w:before="0" w:after="0"/>
      <w:jc w:val="left"/>
    </w:pPr>
    <w:rPr>
      <w:rFonts w:ascii="Times New Roman" w:hAnsi="Times New Roman" w:cs="Times New Roman" w:eastAsia="" w:eastAsiaTheme="minorEastAsia"/>
      <w:color w:val="auto"/>
      <w:sz w:val="20"/>
      <w:szCs w:val="20"/>
      <w:lang w:val="ru-RU" w:eastAsia="ru-RU" w:bidi="ar-SA"/>
    </w:rPr>
  </w:style>
  <w:style w:type="paragraph" w:styleId="1">
    <w:name w:val="Заголовок 1"/>
    <w:basedOn w:val="Style12"/>
    <w:pPr/>
    <w:rPr/>
  </w:style>
  <w:style w:type="paragraph" w:styleId="2">
    <w:name w:val="Заголовок 2"/>
    <w:basedOn w:val="Style12"/>
    <w:pPr/>
    <w:rPr/>
  </w:style>
  <w:style w:type="paragraph" w:styleId="3">
    <w:name w:val="Заголовок 3"/>
    <w:basedOn w:val="Style12"/>
    <w:pPr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1" w:customStyle="1">
    <w:name w:val="Текст выноски Знак"/>
    <w:basedOn w:val="DefaultParagraphFont"/>
    <w:link w:val="a3"/>
    <w:uiPriority w:val="99"/>
    <w:semiHidden/>
    <w:qFormat/>
    <w:rsid w:val="004f3c33"/>
    <w:rPr>
      <w:rFonts w:ascii="Tahoma" w:hAnsi="Tahoma" w:cs="Tahoma"/>
      <w:sz w:val="16"/>
      <w:szCs w:val="16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link w:val="a4"/>
    <w:uiPriority w:val="99"/>
    <w:semiHidden/>
    <w:unhideWhenUsed/>
    <w:qFormat/>
    <w:rsid w:val="004f3c33"/>
    <w:pPr/>
    <w:rPr>
      <w:rFonts w:ascii="Tahoma" w:hAnsi="Tahoma" w:cs="Tahoma"/>
      <w:sz w:val="16"/>
      <w:szCs w:val="16"/>
    </w:rPr>
  </w:style>
  <w:style w:type="paragraph" w:styleId="Style17">
    <w:name w:val="Блочная цитата"/>
    <w:basedOn w:val="Normal"/>
    <w:qFormat/>
    <w:pPr/>
    <w:rPr/>
  </w:style>
  <w:style w:type="paragraph" w:styleId="Style18">
    <w:name w:val="Заглавие"/>
    <w:basedOn w:val="Style12"/>
    <w:pPr/>
    <w:rPr/>
  </w:style>
  <w:style w:type="paragraph" w:styleId="Style19">
    <w:name w:val="Подзаголовок"/>
    <w:basedOn w:val="Style12"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Application>LibreOffice/5.0.1.2$Windows_x86 LibreOffice_project/81898c9f5c0d43f3473ba111d7b351050be20261</Application>
  <Paragraphs>11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2017-02-06T08:05:00Z</dcterms:created>
  <dc:creator>1</dc:creator>
  <dc:language>ru-RU</dc:language>
  <cp:lastPrinted>2017-02-06T09:37:00Z</cp:lastPrinted>
  <dcterms:modified xsi:type="dcterms:W3CDTF">2018-01-09T11:26:54Z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